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澳大利亚的性别平等和带薪育儿假：十年的飞跃还是婴儿学步？ - Marian Baird、Myra Hamilton、Andreea Constantin，2021</w:t>
      </w:r>
      <w:br/>
      <w:hyperlink r:id="rId7" w:history="1">
        <w:r>
          <w:rPr>
            <w:color w:val="2980b9"/>
            <w:u w:val="single"/>
          </w:rPr>
          <w:t xml:space="preserve">https://journals-sagepub-com.ezproxy.library.sydney.edu.au/doi/full/10.1177/00221856211008219</w:t>
        </w:r>
      </w:hyperlink>
    </w:p>
    <w:p>
      <w:pPr>
        <w:pStyle w:val="Heading1"/>
      </w:pPr>
      <w:bookmarkStart w:id="2" w:name="_Toc2"/>
      <w:r>
        <w:t>Article summary:</w:t>
      </w:r>
      <w:bookmarkEnd w:id="2"/>
    </w:p>
    <w:p>
      <w:pPr>
        <w:jc w:val="both"/>
      </w:pPr>
      <w:r>
        <w:rPr/>
        <w:t xml:space="preserve">1. 本文评估了澳大利亚带薪育儿假政策、谈判和公司规定的变化，发现政策变化可能会让更多的父亲和伴侣休假，但短期的二级护理假设定了父亲作为“支持者”的规范标准，而不是承认实质性参与护理。因此，这些变化不会促进育儿假的性别平等共享。</w:t>
      </w:r>
    </w:p>
    <w:p>
      <w:pPr>
        <w:jc w:val="both"/>
      </w:pPr>
      <w:r>
        <w:rPr/>
        <w:t xml:space="preserve">2. 文章使用 Baird 的定向类型学和 Brighouse 和 Wright 的平等框架来评估这些变化可能在多大程度上促进了性别平等。</w:t>
      </w:r>
    </w:p>
    <w:p>
      <w:pPr>
        <w:jc w:val="both"/>
      </w:pPr>
      <w:r>
        <w:rPr/>
        <w:t xml:space="preserve">3. 本文审视了过去 10 年澳大利亚带薪育儿假政策、工作场所协议结果和雇主政策的变化，并评估了我们目前在澳大利亚的性别平等方面所处的位置。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该文章提到了澳大利亚带薪育儿假政策的变化和对性别平等的影响，但存在一些问题。</w:t>
      </w:r>
    </w:p>
    <w:p>
      <w:pPr>
        <w:jc w:val="both"/>
      </w:pPr>
      <w:r>
        <w:rPr/>
        <w:t xml:space="preserve"/>
      </w:r>
    </w:p>
    <w:p>
      <w:pPr>
        <w:jc w:val="both"/>
      </w:pPr>
      <w:r>
        <w:rPr/>
        <w:t xml:space="preserve">首先，文章没有提供足够的证据来支持其主张。例如，它声称政策变化可能会让更多的父亲和伴侣休假，但没有提供数据来证明这一点。此外，文章也没有探讨其他因素对育儿假使用率的影响，如文化观念、家庭责任分配等。</w:t>
      </w:r>
    </w:p>
    <w:p>
      <w:pPr>
        <w:jc w:val="both"/>
      </w:pPr>
      <w:r>
        <w:rPr/>
        <w:t xml:space="preserve"/>
      </w:r>
    </w:p>
    <w:p>
      <w:pPr>
        <w:jc w:val="both"/>
      </w:pPr>
      <w:r>
        <w:rPr/>
        <w:t xml:space="preserve">其次，文章存在一定程度的偏见。它将父亲作为“支持者”的规范标准，并认为短期二级护理假不会促进育儿假的性别平等共享。然而，这种观点忽略了父亲在育儿中扮演的重要角色，并且未考虑到有些家庭可能更倾向于由母亲来照顾孩子。</w:t>
      </w:r>
    </w:p>
    <w:p>
      <w:pPr>
        <w:jc w:val="both"/>
      </w:pPr>
      <w:r>
        <w:rPr/>
        <w:t xml:space="preserve"/>
      </w:r>
    </w:p>
    <w:p>
      <w:pPr>
        <w:jc w:val="both"/>
      </w:pPr>
      <w:r>
        <w:rPr/>
        <w:t xml:space="preserve">此外，文章也没有充分考虑到雇主和员工之间权力关系的影响。例如，在谈判和公司政策方面，雇主可能会更倾向于满足自己的需求而不是员工的需求。</w:t>
      </w:r>
    </w:p>
    <w:p>
      <w:pPr>
        <w:jc w:val="both"/>
      </w:pPr>
      <w:r>
        <w:rPr/>
        <w:t xml:space="preserve"/>
      </w:r>
    </w:p>
    <w:p>
      <w:pPr>
        <w:jc w:val="both"/>
      </w:pPr>
      <w:r>
        <w:rPr/>
        <w:t xml:space="preserve">最后，文章缺乏对风险和反驳观点的探讨。例如，它没有提到可能存在的滥用带薪育儿假的情况，也没有探讨反对带薪育儿假政策的观点。</w:t>
      </w:r>
    </w:p>
    <w:p>
      <w:pPr>
        <w:jc w:val="both"/>
      </w:pPr>
      <w:r>
        <w:rPr/>
        <w:t xml:space="preserve"/>
      </w:r>
    </w:p>
    <w:p>
      <w:pPr>
        <w:jc w:val="both"/>
      </w:pPr>
      <w:r>
        <w:rPr/>
        <w:t xml:space="preserve">综上所述，该文章虽然提供了一些有关澳大利亚带薪育儿假政策和性别平等的信息，但存在一些问题，如缺乏证据支持、存在偏见、未考虑权力关系等。因此，在阅读该文章时需要保持批判性思维，并结合其他来源进行分析。</w:t>
      </w:r>
    </w:p>
    <w:p>
      <w:pPr>
        <w:pStyle w:val="Heading1"/>
      </w:pPr>
      <w:bookmarkStart w:id="5" w:name="_Toc5"/>
      <w:r>
        <w:t>Topics for further research:</w:t>
      </w:r>
      <w:bookmarkEnd w:id="5"/>
    </w:p>
    <w:p>
      <w:pPr>
        <w:spacing w:after="0"/>
        <w:numPr>
          <w:ilvl w:val="0"/>
          <w:numId w:val="2"/>
        </w:numPr>
      </w:pPr>
      <w:r>
        <w:rPr/>
        <w:t xml:space="preserve">Evidence supporting changes in parental leave policy in Australia
</w:t>
      </w:r>
    </w:p>
    <w:p>
      <w:pPr>
        <w:spacing w:after="0"/>
        <w:numPr>
          <w:ilvl w:val="0"/>
          <w:numId w:val="2"/>
        </w:numPr>
      </w:pPr>
      <w:r>
        <w:rPr/>
        <w:t xml:space="preserve">Factors influencing parental leave uptake</w:t>
      </w:r>
    </w:p>
    <w:p>
      <w:pPr>
        <w:spacing w:after="0"/>
        <w:numPr>
          <w:ilvl w:val="0"/>
          <w:numId w:val="2"/>
        </w:numPr>
      </w:pPr>
      <w:r>
        <w:rPr/>
        <w:t xml:space="preserve">such as cultural norms and family responsibilities
</w:t>
      </w:r>
    </w:p>
    <w:p>
      <w:pPr>
        <w:spacing w:after="0"/>
        <w:numPr>
          <w:ilvl w:val="0"/>
          <w:numId w:val="2"/>
        </w:numPr>
      </w:pPr>
      <w:r>
        <w:rPr/>
        <w:t xml:space="preserve">The role of fathers in childcare and potential biases in the article
</w:t>
      </w:r>
    </w:p>
    <w:p>
      <w:pPr>
        <w:spacing w:after="0"/>
        <w:numPr>
          <w:ilvl w:val="0"/>
          <w:numId w:val="2"/>
        </w:numPr>
      </w:pPr>
      <w:r>
        <w:rPr/>
        <w:t xml:space="preserve">Power dynamics between employers and employees in negotiating parental leave policies
</w:t>
      </w:r>
    </w:p>
    <w:p>
      <w:pPr>
        <w:spacing w:after="0"/>
        <w:numPr>
          <w:ilvl w:val="0"/>
          <w:numId w:val="2"/>
        </w:numPr>
      </w:pPr>
      <w:r>
        <w:rPr/>
        <w:t xml:space="preserve">Risks and potential abuses of paid parental leave policies
</w:t>
      </w:r>
    </w:p>
    <w:p>
      <w:pPr>
        <w:numPr>
          <w:ilvl w:val="0"/>
          <w:numId w:val="2"/>
        </w:numPr>
      </w:pPr>
      <w:r>
        <w:rPr/>
        <w:t xml:space="preserve">Counterarguments against paid parental leave policies.</w:t>
      </w:r>
    </w:p>
    <w:p>
      <w:pPr>
        <w:pStyle w:val="Heading1"/>
      </w:pPr>
      <w:bookmarkStart w:id="6" w:name="_Toc6"/>
      <w:r>
        <w:t>Report location:</w:t>
      </w:r>
      <w:bookmarkEnd w:id="6"/>
    </w:p>
    <w:p>
      <w:hyperlink r:id="rId8" w:history="1">
        <w:r>
          <w:rPr>
            <w:color w:val="2980b9"/>
            <w:u w:val="single"/>
          </w:rPr>
          <w:t xml:space="preserve">https://www.fullpicture.app/item/026906f92896caae9b2e5fe3b3a37e30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AB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ezproxy.library.sydney.edu.au/doi/full/10.1177/00221856211008219" TargetMode="External"/><Relationship Id="rId8" Type="http://schemas.openxmlformats.org/officeDocument/2006/relationships/hyperlink" Target="https://www.fullpicture.app/item/026906f92896caae9b2e5fe3b3a37e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2023-12-23T12:41:47+01:00</dcterms:created>
  <dcterms:modified xsi:type="dcterms:W3CDTF">2023-12-23T12:41:47+01:00</dcterms:modified>
</cp:coreProperties>
</file>

<file path=docProps/custom.xml><?xml version="1.0" encoding="utf-8"?>
<Properties xmlns="http://schemas.openxmlformats.org/officeDocument/2006/custom-properties" xmlns:vt="http://schemas.openxmlformats.org/officeDocument/2006/docPropsVTypes"/>
</file>