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challenge of sustainability: incentives for brownfield regeneration in Europe - ScienceDirect</w:t>
      </w:r>
      <w:br/>
      <w:hyperlink r:id="rId7" w:history="1">
        <w:r>
          <w:rPr>
            <w:color w:val="2980b9"/>
            <w:u w:val="single"/>
          </w:rPr>
          <w:t xml:space="preserve">https://www.sciencedirect.com/science/article/pii/S146290110600133X?via%3Dihub</w:t>
        </w:r>
      </w:hyperlink>
    </w:p>
    <w:p>
      <w:pPr>
        <w:pStyle w:val="Heading1"/>
      </w:pPr>
      <w:bookmarkStart w:id="2" w:name="_Toc2"/>
      <w:r>
        <w:t>Article summary:</w:t>
      </w:r>
      <w:bookmarkEnd w:id="2"/>
    </w:p>
    <w:p>
      <w:pPr>
        <w:jc w:val="both"/>
      </w:pPr>
      <w:r>
        <w:rPr/>
        <w:t xml:space="preserve">1. The US Environmental Protection Agency (EPA) started the Brownfields Economic Redevelopment Initiative in 1994 to promote the regeneration of brownfields.</w:t>
      </w:r>
    </w:p>
    <w:p>
      <w:pPr>
        <w:jc w:val="both"/>
      </w:pPr>
      <w:r>
        <w:rPr/>
        <w:t xml:space="preserve">2. The Small Business Liability Relief and Brownfields Revitalisation Act was passed in 2002, transforming EPA's policy into law and providing a legally determined definition of a brownfield site.</w:t>
      </w:r>
    </w:p>
    <w:p>
      <w:pPr>
        <w:jc w:val="both"/>
      </w:pPr>
      <w:r>
        <w:rPr/>
        <w:t xml:space="preserve">3. Incentives such as financial, fiscal, legal, regulatory and policy incentives are often needed to encourage redevelopment of brownfield sites due to their uncertain risks and reduced real estate value.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the challenge of sustainability and incentives for brownfield regeneration in Europe. It provides an overview of the history of the Brownfields Economic Redevelopment Initiative in the US, including details on the Small Business Liability Relief and Brownfields Revitalisation Act that was passed in 2002. It also outlines potential incentives that can be used to encourage redevelopment of brownfield sites due to their uncertain risks and reduced real estate value. </w:t>
      </w:r>
    </w:p>
    <w:p>
      <w:pPr>
        <w:jc w:val="both"/>
      </w:pPr>
      <w:r>
        <w:rPr/>
        <w:t xml:space="preserve">The article does not appear to have any biases or one-sided reporting, as it presents both sides equally with no promotional content or partiality. All claims made are supported by evidence from sources such as the Environmental Protection Agency (EPA), CABERNET (Concerted Action on Brownfield and Economic Regeneration Network), CLARINET (Contaminated Land Rehabilitation Network for Environmental Technologies), Superfund Amendments and Reauthorisation Act of 1986 (SARA), etc., making them reliable. Additionally, possible risks associated with redeveloping brownfield sites are noted throughout the article. </w:t>
      </w:r>
    </w:p>
    <w:p>
      <w:pPr>
        <w:jc w:val="both"/>
      </w:pPr>
      <w:r>
        <w:rPr/>
        <w:t xml:space="preserve">The only potential issue with this article is that it does not explore any counterarguments or missing points of consideration regarding incentives for brownfield regeneration in Europe. However, this does not detract from its overall reliability or trustworthiness as it provides an accurate overview of the topic at hand without any bias or unsupported claims.</w:t>
      </w:r>
    </w:p>
    <w:p>
      <w:pPr>
        <w:pStyle w:val="Heading1"/>
      </w:pPr>
      <w:bookmarkStart w:id="5" w:name="_Toc5"/>
      <w:r>
        <w:t>Topics for further research:</w:t>
      </w:r>
      <w:bookmarkEnd w:id="5"/>
    </w:p>
    <w:p>
      <w:pPr>
        <w:spacing w:after="0"/>
        <w:numPr>
          <w:ilvl w:val="0"/>
          <w:numId w:val="2"/>
        </w:numPr>
      </w:pPr>
      <w:r>
        <w:rPr/>
        <w:t xml:space="preserve">Brownfield redevelopment incentives in Europe</w:t>
      </w:r>
    </w:p>
    <w:p>
      <w:pPr>
        <w:spacing w:after="0"/>
        <w:numPr>
          <w:ilvl w:val="0"/>
          <w:numId w:val="2"/>
        </w:numPr>
      </w:pPr>
      <w:r>
        <w:rPr/>
        <w:t xml:space="preserve">Brownfield redevelopment risks in Europe</w:t>
      </w:r>
    </w:p>
    <w:p>
      <w:pPr>
        <w:spacing w:after="0"/>
        <w:numPr>
          <w:ilvl w:val="0"/>
          <w:numId w:val="2"/>
        </w:numPr>
      </w:pPr>
      <w:r>
        <w:rPr/>
        <w:t xml:space="preserve">Brownfield redevelopment strategies in Europe</w:t>
      </w:r>
    </w:p>
    <w:p>
      <w:pPr>
        <w:spacing w:after="0"/>
        <w:numPr>
          <w:ilvl w:val="0"/>
          <w:numId w:val="2"/>
        </w:numPr>
      </w:pPr>
      <w:r>
        <w:rPr/>
        <w:t xml:space="preserve">Brownfield redevelopment funding in Europe</w:t>
      </w:r>
    </w:p>
    <w:p>
      <w:pPr>
        <w:spacing w:after="0"/>
        <w:numPr>
          <w:ilvl w:val="0"/>
          <w:numId w:val="2"/>
        </w:numPr>
      </w:pPr>
      <w:r>
        <w:rPr/>
        <w:t xml:space="preserve">Brownfield redevelopment regulations in Europe</w:t>
      </w:r>
    </w:p>
    <w:p>
      <w:pPr>
        <w:numPr>
          <w:ilvl w:val="0"/>
          <w:numId w:val="2"/>
        </w:numPr>
      </w:pPr>
      <w:r>
        <w:rPr/>
        <w:t xml:space="preserve">Brownfield redevelopment success stories in Europe</w:t>
      </w:r>
    </w:p>
    <w:p>
      <w:pPr>
        <w:pStyle w:val="Heading1"/>
      </w:pPr>
      <w:bookmarkStart w:id="6" w:name="_Toc6"/>
      <w:r>
        <w:t>Report location:</w:t>
      </w:r>
      <w:bookmarkEnd w:id="6"/>
    </w:p>
    <w:p>
      <w:hyperlink r:id="rId8" w:history="1">
        <w:r>
          <w:rPr>
            <w:color w:val="2980b9"/>
            <w:u w:val="single"/>
          </w:rPr>
          <w:t xml:space="preserve">https://www.fullpicture.app/item/03220215c1017676f0b490b0d53e3fe2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B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290110600133X?via%3Dihub" TargetMode="External"/><Relationship Id="rId8" Type="http://schemas.openxmlformats.org/officeDocument/2006/relationships/hyperlink" Target="https://www.fullpicture.app/item/03220215c1017676f0b490b0d53e3f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2023-02-23T16:41:02+01:00</dcterms:created>
  <dcterms:modified xsi:type="dcterms:W3CDTF">2023-02-23T16:41:02+01:00</dcterms:modified>
</cp:coreProperties>
</file>

<file path=docProps/custom.xml><?xml version="1.0" encoding="utf-8"?>
<Properties xmlns="http://schemas.openxmlformats.org/officeDocument/2006/custom-properties" xmlns:vt="http://schemas.openxmlformats.org/officeDocument/2006/docPropsVTypes"/>
</file>