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Dry eye disease and meibomian gland dysfunction among a clinical sample of type 2 diabetes patients in Ghana - PMC</w:t>
      </w:r>
      <w:br/>
      <w:hyperlink r:id="rId7" w:history="1">
        <w:r>
          <w:rPr>
            <w:color w:val="2980b9"/>
            <w:u w:val="single"/>
          </w:rPr>
          <w:t xml:space="preserve">https://www.ncbi.nlm.nih.gov/pmc/articles/PMC9382471/</w:t>
        </w:r>
      </w:hyperlink>
    </w:p>
    <w:p>
      <w:pPr>
        <w:pStyle w:val="Heading1"/>
      </w:pPr>
      <w:bookmarkStart w:id="2" w:name="_Toc2"/>
      <w:r>
        <w:t>Article summary:</w:t>
      </w:r>
      <w:bookmarkEnd w:id="2"/>
    </w:p>
    <w:p>
      <w:pPr>
        <w:jc w:val="both"/>
      </w:pPr>
      <w:r>
        <w:rPr/>
        <w:t xml:space="preserve">1. Dry eye disease (DED) and meibomian gland dysfunction (MGD) are prevalent among type 2 diabetes patients in Ghana, with a prevalence of 72.3% and 55.3%, respectively.</w:t>
      </w:r>
    </w:p>
    <w:p>
      <w:pPr>
        <w:jc w:val="both"/>
      </w:pPr>
      <w:r>
        <w:rPr/>
        <w:t xml:space="preserve">2. Symptomatic dry eye was significantly associated with the duration of diabetes and the presence of conjunctival disorders, while MGD was a risk factor for DED.</w:t>
      </w:r>
    </w:p>
    <w:p>
      <w:pPr>
        <w:jc w:val="both"/>
      </w:pPr>
      <w:r>
        <w:rPr/>
        <w:t xml:space="preserve">3. The study highlights the need for routine dry eye assessment as part of clinical management protocols for patients with type 2 diabetes in Ghana.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"Dry eye disease and meibomian gland dysfunction among a clinical sample of type 2 diabetes patients in Ghana" presents the results of a cross-sectional study conducted to evaluate dry eye disease and meibomian gland dysfunction among type 2 diabetes patients in Ghana. The study found that the prevalence of DED and MGD were high among the patients, with symptomatic dry eye significantly associated with duration of diabetes and the presence of conjunctival disorders.</w:t>
      </w:r>
    </w:p>
    <w:p>
      <w:pPr>
        <w:jc w:val="both"/>
      </w:pPr>
      <w:r>
        <w:rPr/>
        <w:t xml:space="preserve"/>
      </w:r>
    </w:p>
    <w:p>
      <w:pPr>
        <w:jc w:val="both"/>
      </w:pPr>
      <w:r>
        <w:rPr/>
        <w:t xml:space="preserve">Overall, the article provides a comprehensive overview of the study's findings, including details on the methods used for data collection and analysis. However, there are some potential biases and limitations to consider.</w:t>
      </w:r>
    </w:p>
    <w:p>
      <w:pPr>
        <w:jc w:val="both"/>
      </w:pPr>
      <w:r>
        <w:rPr/>
        <w:t xml:space="preserve"/>
      </w:r>
    </w:p>
    <w:p>
      <w:pPr>
        <w:jc w:val="both"/>
      </w:pPr>
      <w:r>
        <w:rPr/>
        <w:t xml:space="preserve">One potential bias is that the study only included confirmed type 2 diabetes patients, which may not be representative of all diabetes patients in Ghana. Additionally, the exclusion criteria for the study may have limited its generalizability to other populations.</w:t>
      </w:r>
    </w:p>
    <w:p>
      <w:pPr>
        <w:jc w:val="both"/>
      </w:pPr>
      <w:r>
        <w:rPr/>
        <w:t xml:space="preserve"/>
      </w:r>
    </w:p>
    <w:p>
      <w:pPr>
        <w:jc w:val="both"/>
      </w:pPr>
      <w:r>
        <w:rPr/>
        <w:t xml:space="preserve">Another limitation is that the article does not provide information on how participants were recruited or how many declined to participate. This could potentially impact the representativeness of the sample.</w:t>
      </w:r>
    </w:p>
    <w:p>
      <w:pPr>
        <w:jc w:val="both"/>
      </w:pPr>
      <w:r>
        <w:rPr/>
        <w:t xml:space="preserve"/>
      </w:r>
    </w:p>
    <w:p>
      <w:pPr>
        <w:jc w:val="both"/>
      </w:pPr>
      <w:r>
        <w:rPr/>
        <w:t xml:space="preserve">Furthermore, while the article discusses potential mechanisms for dry eye in diabetes, it does not explore counterarguments or alternative explanations for these associations. This could limit readers' understanding of the complexity of these relationships.</w:t>
      </w:r>
    </w:p>
    <w:p>
      <w:pPr>
        <w:jc w:val="both"/>
      </w:pPr>
      <w:r>
        <w:rPr/>
        <w:t xml:space="preserve"/>
      </w:r>
    </w:p>
    <w:p>
      <w:pPr>
        <w:jc w:val="both"/>
      </w:pPr>
      <w:r>
        <w:rPr/>
        <w:t xml:space="preserve">Additionally, while the article notes that early diagnosis and prompt treatment are key to preventing ocular complications in diabetes patients, it does not provide specific recommendations for screening or management protocols. This could limit its practical implications for clinicians.</w:t>
      </w:r>
    </w:p>
    <w:p>
      <w:pPr>
        <w:jc w:val="both"/>
      </w:pPr>
      <w:r>
        <w:rPr/>
        <w:t xml:space="preserve"/>
      </w:r>
    </w:p>
    <w:p>
      <w:pPr>
        <w:jc w:val="both"/>
      </w:pPr>
      <w:r>
        <w:rPr/>
        <w:t xml:space="preserve">Finally, it is worth noting that there is no evidence of promotional content or partiality in this article. The authors present their findings objectively and do not appear to have any conflicts of interest.</w:t>
      </w:r>
    </w:p>
    <w:p>
      <w:pPr>
        <w:jc w:val="both"/>
      </w:pPr>
      <w:r>
        <w:rPr/>
        <w:t xml:space="preserve"/>
      </w:r>
    </w:p>
    <w:p>
      <w:pPr>
        <w:jc w:val="both"/>
      </w:pPr>
      <w:r>
        <w:rPr/>
        <w:t xml:space="preserve">In conclusion, while this article provides valuable insights into dry eye disease and meibomian gland dysfunction among type 2 diabetes patients in Ghana, there are some potential biases and limitations to consider. Future research should aim to address these limitations and provide more specific recommendations for screening and management protocols.</w:t>
      </w:r>
    </w:p>
    <w:p>
      <w:pPr>
        <w:pStyle w:val="Heading1"/>
      </w:pPr>
      <w:bookmarkStart w:id="5" w:name="_Toc5"/>
      <w:r>
        <w:t>Topics for further research:</w:t>
      </w:r>
      <w:bookmarkEnd w:id="5"/>
    </w:p>
    <w:p>
      <w:pPr>
        <w:spacing w:after="0"/>
        <w:numPr>
          <w:ilvl w:val="0"/>
          <w:numId w:val="2"/>
        </w:numPr>
      </w:pPr>
      <w:r>
        <w:rPr/>
        <w:t xml:space="preserve">Screening and management protocols for dry eye disease and meibomian gland dysfunction in diabetes patients
</w:t>
      </w:r>
    </w:p>
    <w:p>
      <w:pPr>
        <w:spacing w:after="0"/>
        <w:numPr>
          <w:ilvl w:val="0"/>
          <w:numId w:val="2"/>
        </w:numPr>
      </w:pPr>
      <w:r>
        <w:rPr/>
        <w:t xml:space="preserve">Alternative explanations for the association between diabetes and dry eye disease
</w:t>
      </w:r>
    </w:p>
    <w:p>
      <w:pPr>
        <w:spacing w:after="0"/>
        <w:numPr>
          <w:ilvl w:val="0"/>
          <w:numId w:val="2"/>
        </w:numPr>
      </w:pPr>
      <w:r>
        <w:rPr/>
        <w:t xml:space="preserve">Prevalence of dry eye disease and meibomian gland dysfunction in other populations with diabetes
</w:t>
      </w:r>
    </w:p>
    <w:p>
      <w:pPr>
        <w:spacing w:after="0"/>
        <w:numPr>
          <w:ilvl w:val="0"/>
          <w:numId w:val="2"/>
        </w:numPr>
      </w:pPr>
      <w:r>
        <w:rPr/>
        <w:t xml:space="preserve">Risk factors for conjunctival disorders in diabetes patients
</w:t>
      </w:r>
    </w:p>
    <w:p>
      <w:pPr>
        <w:spacing w:after="0"/>
        <w:numPr>
          <w:ilvl w:val="0"/>
          <w:numId w:val="2"/>
        </w:numPr>
      </w:pPr>
      <w:r>
        <w:rPr/>
        <w:t xml:space="preserve">Impact of diabetes duration on ocular complications
</w:t>
      </w:r>
    </w:p>
    <w:p>
      <w:pPr>
        <w:numPr>
          <w:ilvl w:val="0"/>
          <w:numId w:val="2"/>
        </w:numPr>
      </w:pPr>
      <w:r>
        <w:rPr/>
        <w:t xml:space="preserve">Interventions to prevent or manage dry eye disease and meibomian gland dysfunction in diabetes patients</w:t>
      </w:r>
    </w:p>
    <w:p>
      <w:pPr>
        <w:pStyle w:val="Heading1"/>
      </w:pPr>
      <w:bookmarkStart w:id="6" w:name="_Toc6"/>
      <w:r>
        <w:t>Report location:</w:t>
      </w:r>
      <w:bookmarkEnd w:id="6"/>
    </w:p>
    <w:p>
      <w:hyperlink r:id="rId8" w:history="1">
        <w:r>
          <w:rPr>
            <w:color w:val="2980b9"/>
            <w:u w:val="single"/>
          </w:rPr>
          <w:t xml:space="preserve">https://www.fullpicture.app/item/04312ab8732403d49a5819e36c0e093a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9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82471/" TargetMode="External"/><Relationship Id="rId8" Type="http://schemas.openxmlformats.org/officeDocument/2006/relationships/hyperlink" Target="https://www.fullpicture.app/item/04312ab8732403d49a5819e36c0e0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2023-12-26T02:41:04+01:00</dcterms:created>
  <dcterms:modified xsi:type="dcterms:W3CDTF">2023-12-26T02:41:04+01:00</dcterms:modified>
</cp:coreProperties>
</file>

<file path=docProps/custom.xml><?xml version="1.0" encoding="utf-8"?>
<Properties xmlns="http://schemas.openxmlformats.org/officeDocument/2006/custom-properties" xmlns:vt="http://schemas.openxmlformats.org/officeDocument/2006/docPropsVTypes"/>
</file>