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COVID-19 危重患者连续肾脏替代治疗期间局部柠檬酸盐抗凝治疗的疗效和并发症 - PMC</w:t>
      </w:r>
      <w:br/>
      <w:hyperlink r:id="rId7" w:history="1">
        <w:r>
          <w:rPr>
            <w:color w:val="2980b9"/>
            <w:u w:val="single"/>
          </w:rPr>
          <w:t xml:space="preserve">https://www.ncbi.nlm.nih.gov/pmc/articles/PMC8576341/</w:t>
        </w:r>
      </w:hyperlink>
    </w:p>
    <w:p>
      <w:pPr>
        <w:pStyle w:val="Heading1"/>
      </w:pPr>
      <w:bookmarkStart w:id="2" w:name="_Toc2"/>
      <w:r>
        <w:t>Article summary:</w:t>
      </w:r>
      <w:bookmarkEnd w:id="2"/>
    </w:p>
    <w:p>
      <w:pPr>
        <w:jc w:val="both"/>
      </w:pPr>
      <w:r>
        <w:rPr/>
        <w:t xml:space="preserve">1. COVID-19患者在连续肾脏替代治疗期间使用局部柠檬酸盐抗凝治疗可以提供足够的过滤器寿命。</w:t>
      </w:r>
    </w:p>
    <w:p>
      <w:pPr>
        <w:jc w:val="both"/>
      </w:pPr>
      <w:r>
        <w:rPr/>
        <w:t xml:space="preserve">2. COVID-19患者在整个CRRT期间表现出更高的活化部分凝血活酶时间（aPTT）和代谢紊乱，包括代谢性碱中毒、高钙血症和高钠血症。</w:t>
      </w:r>
    </w:p>
    <w:p>
      <w:pPr>
        <w:jc w:val="both"/>
      </w:pPr>
      <w:r>
        <w:rPr/>
        <w:t xml:space="preserve">3. COVID-19患者在RCA-CRRT期间可能会出现滤器通畅性降低，导致柠檬酸盐超负荷和代谢紊乱的发生率增加。</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偏见及其来源：文章没有明确提到作者的背景或潜在利益冲突。这可能导致作者在撰写文章时存在某种偏见，例如对特定治疗方法或药物的偏好。</w:t>
      </w:r>
    </w:p>
    <w:p>
      <w:pPr>
        <w:jc w:val="both"/>
      </w:pPr>
      <w:r>
        <w:rPr/>
        <w:t xml:space="preserve"/>
      </w:r>
    </w:p>
    <w:p>
      <w:pPr>
        <w:jc w:val="both"/>
      </w:pPr>
      <w:r>
        <w:rPr/>
        <w:t xml:space="preserve">2. 片面报道：文章只关注了COVID-19患者与非COVID-19患者之间在连续肾脏替代治疗期间使用局部柠檬酸盐抗凝治疗的差异，并未探讨其他可能影响治疗效果和并发症的因素，如患者基线特征、合并症等。</w:t>
      </w:r>
    </w:p>
    <w:p>
      <w:pPr>
        <w:jc w:val="both"/>
      </w:pPr>
      <w:r>
        <w:rPr/>
        <w:t xml:space="preserve"/>
      </w:r>
    </w:p>
    <w:p>
      <w:pPr>
        <w:jc w:val="both"/>
      </w:pPr>
      <w:r>
        <w:rPr/>
        <w:t xml:space="preserve">3. 无根据的主张：文章声称COVID-19患者在整个CRRT期间表现出显着更高的活化部分凝血活酶时间（aPTT），但未提供相关数据或统计分析结果来支持这一主张。缺乏证据支持的主张可能会引起读者对结果的怀疑。</w:t>
      </w:r>
    </w:p>
    <w:p>
      <w:pPr>
        <w:jc w:val="both"/>
      </w:pPr>
      <w:r>
        <w:rPr/>
        <w:t xml:space="preserve"/>
      </w:r>
    </w:p>
    <w:p>
      <w:pPr>
        <w:jc w:val="both"/>
      </w:pPr>
      <w:r>
        <w:rPr/>
        <w:t xml:space="preserve">4. 缺失的考虑点：文章没有讨论局部柠檬酸盐抗凝治疗可能存在的风险和副作用，也没有提及其他可能影响治疗效果的因素，如患者的肾功能状态、疾病严重程度等。</w:t>
      </w:r>
    </w:p>
    <w:p>
      <w:pPr>
        <w:jc w:val="both"/>
      </w:pPr>
      <w:r>
        <w:rPr/>
        <w:t xml:space="preserve"/>
      </w:r>
    </w:p>
    <w:p>
      <w:pPr>
        <w:jc w:val="both"/>
      </w:pPr>
      <w:r>
        <w:rPr/>
        <w:t xml:space="preserve">5. 所提出主张的缺失证据：文章声称COVID-19患者在柠檬酸盐超负荷和代谢紊乱方面存在更高的风险，但未提供足够的数据或分析结果来支持这一主张。缺乏证据支持的主张可能会削弱文章的可信度。</w:t>
      </w:r>
    </w:p>
    <w:p>
      <w:pPr>
        <w:jc w:val="both"/>
      </w:pPr>
      <w:r>
        <w:rPr/>
        <w:t xml:space="preserve"/>
      </w:r>
    </w:p>
    <w:p>
      <w:pPr>
        <w:jc w:val="both"/>
      </w:pPr>
      <w:r>
        <w:rPr/>
        <w:t xml:space="preserve">6. 未探索的反驳：文章没有讨论其他可能存在的治疗方法或抗凝治疗选择，也没有探讨局部柠檬酸盐抗凝治疗与其他抗凝方法之间的比较。这种未探索可能导致读者对该治疗方法是否是最佳选择产生疑问。</w:t>
      </w:r>
    </w:p>
    <w:p>
      <w:pPr>
        <w:jc w:val="both"/>
      </w:pPr>
      <w:r>
        <w:rPr/>
        <w:t xml:space="preserve"/>
      </w:r>
    </w:p>
    <w:p>
      <w:pPr>
        <w:jc w:val="both"/>
      </w:pPr>
      <w:r>
        <w:rPr/>
        <w:t xml:space="preserve">7. 宣传内容和偏袒：文章中是否存在宣传某种特定治疗方法或药物的倾向？作者是否有与相关公司或组织有利益关系？这些问题需要进一步调查以确定文章是否存在偏袒或宣传内容。</w:t>
      </w:r>
    </w:p>
    <w:p>
      <w:pPr>
        <w:jc w:val="both"/>
      </w:pPr>
      <w:r>
        <w:rPr/>
        <w:t xml:space="preserve"/>
      </w:r>
    </w:p>
    <w:p>
      <w:pPr>
        <w:jc w:val="both"/>
      </w:pPr>
      <w:r>
        <w:rPr/>
        <w:t xml:space="preserve">8. 是否注意到可能的风险：文章没有明确讨论局部柠檬酸盐抗凝治疗可能带来的风险和不良事件。对于任何治疗方法，都应该全面评估其潜在的风险和益处。</w:t>
      </w:r>
    </w:p>
    <w:p>
      <w:pPr>
        <w:jc w:val="both"/>
      </w:pPr>
      <w:r>
        <w:rPr/>
        <w:t xml:space="preserve"/>
      </w:r>
    </w:p>
    <w:p>
      <w:pPr>
        <w:jc w:val="both"/>
      </w:pPr>
      <w:r>
        <w:rPr/>
        <w:t xml:space="preserve">9. 没有平等地呈现双方：文章只关注COVID-19患者与非COVID-19患者之间的差异，而没有平等地考虑两组患者之间可能存在的其他因素。这可能导致对结果的解释不完整或片面。</w:t>
      </w:r>
    </w:p>
    <w:p>
      <w:pPr>
        <w:jc w:val="both"/>
      </w:pPr>
      <w:r>
        <w:rPr/>
        <w:t xml:space="preserve"/>
      </w:r>
    </w:p>
    <w:p>
      <w:pPr>
        <w:jc w:val="both"/>
      </w:pPr>
      <w:r>
        <w:rPr/>
        <w:t xml:space="preserve">总体而言，上述文章在提供有关COVID-19患者在连续肾脏替代治疗期间局部柠檬酸盐抗凝治疗效果和并发症方面存在一些问题。缺乏充分的数据支持、未探索其他可能影响治疗效果的因素以及缺失对风险和副作用的讨论等问题可能会影响读者对该研究结果的解释和接受程度。因此，进一步的研究和审查是必要的来验证这些发现并提供更全面和客观的结论。</w:t>
      </w:r>
    </w:p>
    <w:p>
      <w:pPr>
        <w:pStyle w:val="Heading1"/>
      </w:pPr>
      <w:bookmarkStart w:id="5" w:name="_Toc5"/>
      <w:r>
        <w:t>Topics for further research:</w:t>
      </w:r>
      <w:bookmarkEnd w:id="5"/>
    </w:p>
    <w:p>
      <w:pPr>
        <w:spacing w:after="0"/>
        <w:numPr>
          <w:ilvl w:val="0"/>
          <w:numId w:val="2"/>
        </w:numPr>
      </w:pPr>
      <w:r>
        <w:rPr/>
        <w:t xml:space="preserve">作者背景和潜在利益冲突
</w:t>
      </w:r>
    </w:p>
    <w:p>
      <w:pPr>
        <w:spacing w:after="0"/>
        <w:numPr>
          <w:ilvl w:val="0"/>
          <w:numId w:val="2"/>
        </w:numPr>
      </w:pPr>
      <w:r>
        <w:rPr/>
        <w:t xml:space="preserve">其他可能影响治疗效果和并发症的因素
</w:t>
      </w:r>
    </w:p>
    <w:p>
      <w:pPr>
        <w:spacing w:after="0"/>
        <w:numPr>
          <w:ilvl w:val="0"/>
          <w:numId w:val="2"/>
        </w:numPr>
      </w:pPr>
      <w:r>
        <w:rPr/>
        <w:t xml:space="preserve">缺乏支持的主张
</w:t>
      </w:r>
    </w:p>
    <w:p>
      <w:pPr>
        <w:spacing w:after="0"/>
        <w:numPr>
          <w:ilvl w:val="0"/>
          <w:numId w:val="2"/>
        </w:numPr>
      </w:pPr>
      <w:r>
        <w:rPr/>
        <w:t xml:space="preserve">治疗的风险和副作用
</w:t>
      </w:r>
    </w:p>
    <w:p>
      <w:pPr>
        <w:spacing w:after="0"/>
        <w:numPr>
          <w:ilvl w:val="0"/>
          <w:numId w:val="2"/>
        </w:numPr>
      </w:pPr>
      <w:r>
        <w:rPr/>
        <w:t xml:space="preserve">缺失证据支持的主张
</w:t>
      </w:r>
    </w:p>
    <w:p>
      <w:pPr>
        <w:numPr>
          <w:ilvl w:val="0"/>
          <w:numId w:val="2"/>
        </w:numPr>
      </w:pPr>
      <w:r>
        <w:rPr/>
        <w:t xml:space="preserve">未探索的治疗方法和抗凝治疗选择比较</w:t>
      </w:r>
    </w:p>
    <w:p>
      <w:pPr>
        <w:pStyle w:val="Heading1"/>
      </w:pPr>
      <w:bookmarkStart w:id="6" w:name="_Toc6"/>
      <w:r>
        <w:t>Report location:</w:t>
      </w:r>
      <w:bookmarkEnd w:id="6"/>
    </w:p>
    <w:p>
      <w:hyperlink r:id="rId8" w:history="1">
        <w:r>
          <w:rPr>
            <w:color w:val="2980b9"/>
            <w:u w:val="single"/>
          </w:rPr>
          <w:t xml:space="preserve">https://www.fullpicture.app/item/052f1c43a392e62b24c065694062fc3e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C1D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576341/" TargetMode="External"/><Relationship Id="rId8" Type="http://schemas.openxmlformats.org/officeDocument/2006/relationships/hyperlink" Target="https://www.fullpicture.app/item/052f1c43a392e62b24c065694062fc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2024-06-04T22:11:15+02:00</dcterms:created>
  <dcterms:modified xsi:type="dcterms:W3CDTF">2024-06-04T22:11:15+02:00</dcterms:modified>
</cp:coreProperties>
</file>

<file path=docProps/custom.xml><?xml version="1.0" encoding="utf-8"?>
<Properties xmlns="http://schemas.openxmlformats.org/officeDocument/2006/custom-properties" xmlns:vt="http://schemas.openxmlformats.org/officeDocument/2006/docPropsVTypes"/>
</file>