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Upconversion NaYF4:Yb/Er-TiO2-Ti3C2 Heterostructure-Based Near- Infrared Light-Driven Photoelectrochemical Biosensor for Highly Sensitive and Selective D-Serine Detection-All Databases</w:t>
      </w:r>
      <w:br/>
      <w:hyperlink r:id="rId7" w:history="1">
        <w:r>
          <w:rPr>
            <w:color w:val="2980b9"/>
            <w:u w:val="single"/>
          </w:rPr>
          <w:t xml:space="preserve">http://webofscience-clarivate-cn-s.vpn.ysu.edu.cn:8118/wos/alldb/full-record/WOS:000890457700001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本文介绍了一种基于上转换NaYF4:Yb/Er-TiO2-Ti3C2异质结构的近红外光驱动光电化学生物传感器，用于高灵敏度和选择性的D-丝氨酸检测。</w:t>
      </w:r>
    </w:p>
    <w:p>
      <w:pPr>
        <w:jc w:val="both"/>
      </w:pPr>
      <w:r>
        <w:rPr/>
        <w:t xml:space="preserve">2. 研究人员通过将上转换材料NaYF4:Yb/Er与TiO2和Ti3C2异质结构相结合，实现了对近红外光的有效吸收和转换，并将其应用于生物传感器中。</w:t>
      </w:r>
    </w:p>
    <w:p>
      <w:pPr>
        <w:jc w:val="both"/>
      </w:pPr>
      <w:r>
        <w:rPr/>
        <w:t xml:space="preserve">3. 这种光电化学生物传感器具有高灵敏度和选择性，可以在低浓度下准确检测D-丝氨酸，为生物医学领域的疾病诊断和治疗提供了新的工具。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全面的阅读和理解。由于只提供了文章的标题和一部分正文，无法对其进行具体的评价和分析。因此，无法提供关于潜在偏见、片面报道、无根据的主张、缺失的考虑点、所提出主张的缺失证据、未探索的反驳、宣传内容等方面的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要进行批判性分析，需要深入研究文章中使用的方法、数据来源、实验设计以及结果和结论等方面。同时还需要考虑作者可能存在的利益冲突或偏见，并与其他相关研究进行比较和对比。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总之，在没有完整阅读和理解文章内容的情况下，无法提供对其潜在偏见及来源等方面的具体见解。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潜在偏见：通过查找作者的背景信息和其他相关研究，以确定作者是否有可能存在利益冲突或偏见。
</w:t>
      </w:r>
    </w:p>
    <w:p>
      <w:pPr>
        <w:spacing w:after="0"/>
        <w:numPr>
          <w:ilvl w:val="0"/>
          <w:numId w:val="2"/>
        </w:numPr>
      </w:pPr>
      <w:r>
        <w:rPr/>
        <w:t xml:space="preserve">片面报道：通过查找其他相关研究和观点，以确定文章是否只提供了一个方面的观点，而忽略了其他可能的解释或证据。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无根据的主张：通过查找文章中提到的数据来源和实验设计，以确定作者的主张是否有足够的依据和支持。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缺失的考虑点：通过比较其他相关研究和观点，以确定文章是否忽略了一些重要的考虑点或因素。
</w:t>
      </w:r>
    </w:p>
    <w:p>
      <w:pPr>
        <w:spacing w:after="0"/>
        <w:numPr>
          <w:ilvl w:val="0"/>
          <w:numId w:val="2"/>
        </w:numPr>
      </w:pPr>
      <w:r>
        <w:rPr/>
        <w:t xml:space="preserve">主张的缺失证据：通过查找文章中提到的数据和实验结果，以确定作者的主张是否有足够的证据支持。
</w:t>
      </w:r>
    </w:p>
    <w:p>
      <w:pPr>
        <w:numPr>
          <w:ilvl w:val="0"/>
          <w:numId w:val="2"/>
        </w:numPr>
      </w:pPr>
      <w:r>
        <w:rPr/>
        <w:t xml:space="preserve">未探索的反驳：通过查找其他相关研究和观点，以确定文章是否考虑了可能的反驳或异议，并提供了相应的回应。
通过对这些关键短语的深入研究和分析，可以进行更全面和批判性的对文章进行评价和分析。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https://www.fullpicture.app/item/05e969d234ca6eab06820f86aa383166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2963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ebofscience-clarivate-cn-s.vpn.ysu.edu.cn:8118/wos/alldb/full-record/WOS:000890457700001" TargetMode="External"/><Relationship Id="rId8" Type="http://schemas.openxmlformats.org/officeDocument/2006/relationships/hyperlink" Target="https://www.fullpicture.app/item/05e969d234ca6eab06820f86aa38316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2023-11-29T10:48:39+01:00</dcterms:created>
  <dcterms:modified xsi:type="dcterms:W3CDTF">2023-11-29T10:48:39+01:00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