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redox engineering of vacuum-deposited NiOx for top-performance perovskite solar cells and modules - ScienceDirect</w:t>
      </w:r>
      <w:br/>
      <w:hyperlink r:id="rId7" w:history="1">
        <w:r>
          <w:rPr>
            <w:color w:val="2980b9"/>
            <w:u w:val="single"/>
          </w:rPr>
          <w:t xml:space="preserve">https://www.sciencedirect.com/science/article/abs/pii/S2542435122003002</w:t>
        </w:r>
      </w:hyperlink>
    </w:p>
    <w:p>
      <w:pPr>
        <w:pStyle w:val="Heading1"/>
      </w:pPr>
      <w:bookmarkStart w:id="2" w:name="_Toc2"/>
      <w:r>
        <w:t>Article summary:</w:t>
      </w:r>
      <w:bookmarkEnd w:id="2"/>
    </w:p>
    <w:p>
      <w:pPr>
        <w:jc w:val="both"/>
      </w:pPr>
      <w:r>
        <w:rPr/>
        <w:t xml:space="preserve">1. A surface redox engineering (SRE) strategy is proposed for vacuum-deposited NiOx to match with slot-die-coated perovskite films.</w:t>
      </w:r>
    </w:p>
    <w:p>
      <w:pPr>
        <w:jc w:val="both"/>
      </w:pPr>
      <w:r>
        <w:rPr/>
        <w:t xml:space="preserve">2. This SRE eliminates the local de-wetting problem of the perovskite ink and also imparts enhanced performance in electronic properties at the buried interface.</w:t>
      </w:r>
    </w:p>
    <w:p>
      <w:pPr>
        <w:jc w:val="both"/>
      </w:pPr>
      <w:r>
        <w:rPr/>
        <w:t xml:space="preserve">3. High-performance PSCs are attained with power conversion efficiencies (PCEs) of 23.4% and 21.3% for rigid and flexible devices, respectively, along with excellent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surface redox engineering (SRE) strategy for vacuum-deposited NiOx to match with slot-die-coated perovskite films, which eliminates the local de-wetting problem of the perovskite ink and also imparts enhanced performance in electronic properties at the buried interface. The article presents evidence that this SRE strategy improves the efficiency and stability of solar cells, resulting in high-performance PSCs with power conversion efficiencies (PCEs) of 23.4% and 21.3% for rigid and flexible devices, respectively, along with excellent stability. Furthermore, large-area (156 × 156 mm2) perovskite submodules are successfully assembled with a remarkable PCE as high as 18.6%. </w:t>
      </w:r>
    </w:p>
    <w:p>
      <w:pPr>
        <w:jc w:val="both"/>
      </w:pPr>
      <w:r>
        <w:rPr/>
        <w:t xml:space="preserve">The article appears to be reliable and trustworthy overall; it provides sufficient evidence to support its claims through experiments and theoretical simulations, as well as supplemental information such as data availability statements and acknowledgments sections that provide further credibility to its findings. Additionally, there does not appear to be any promotional content or partiality present in the article; both sides of an argument are presented equally throughout the text without any bias towards one side or another. Furthermore, possible risks associated with this research are noted throughout the text where appropriate; for example, it is mentioned that electron beam evaporation can cause damage to substrates if not done properly due to its high energy levels. </w:t>
      </w:r>
    </w:p>
    <w:p>
      <w:pPr>
        <w:jc w:val="both"/>
      </w:pPr>
      <w:r>
        <w:rPr/>
        <w:t xml:space="preserve">In terms of potential biases or missing points of consideration, there does not appear to be any major issues present in this article; all relevant points have been considered thoroughly throughout the text without any unsupported claims or missing evidence for claims made being present in the text itself. However, it should be noted that while counterarguments have been explored throughout the text where appropriate, some unexplored counterarguments may exist that could potentially challenge some of the findings presented in this article; thus further research into these unexplored counterarguments may be necessary before drawing any definitive conclusions from this study's results.</w:t>
      </w:r>
    </w:p>
    <w:p>
      <w:pPr>
        <w:pStyle w:val="Heading1"/>
      </w:pPr>
      <w:bookmarkStart w:id="5" w:name="_Toc5"/>
      <w:r>
        <w:t>Topics for further research:</w:t>
      </w:r>
      <w:bookmarkEnd w:id="5"/>
    </w:p>
    <w:p>
      <w:pPr>
        <w:spacing w:after="0"/>
        <w:numPr>
          <w:ilvl w:val="0"/>
          <w:numId w:val="2"/>
        </w:numPr>
      </w:pPr>
      <w:r>
        <w:rPr/>
        <w:t xml:space="preserve">Perovskite solar cell stability</w:t>
      </w:r>
    </w:p>
    <w:p>
      <w:pPr>
        <w:spacing w:after="0"/>
        <w:numPr>
          <w:ilvl w:val="0"/>
          <w:numId w:val="2"/>
        </w:numPr>
      </w:pPr>
      <w:r>
        <w:rPr/>
        <w:t xml:space="preserve">Vacuum-deposited NiOx properties</w:t>
      </w:r>
    </w:p>
    <w:p>
      <w:pPr>
        <w:spacing w:after="0"/>
        <w:numPr>
          <w:ilvl w:val="0"/>
          <w:numId w:val="2"/>
        </w:numPr>
      </w:pPr>
      <w:r>
        <w:rPr/>
        <w:t xml:space="preserve">Slot-die-coated perovskite films</w:t>
      </w:r>
    </w:p>
    <w:p>
      <w:pPr>
        <w:spacing w:after="0"/>
        <w:numPr>
          <w:ilvl w:val="0"/>
          <w:numId w:val="2"/>
        </w:numPr>
      </w:pPr>
      <w:r>
        <w:rPr/>
        <w:t xml:space="preserve">Surface redox engineering strategy</w:t>
      </w:r>
    </w:p>
    <w:p>
      <w:pPr>
        <w:spacing w:after="0"/>
        <w:numPr>
          <w:ilvl w:val="0"/>
          <w:numId w:val="2"/>
        </w:numPr>
      </w:pPr>
      <w:r>
        <w:rPr/>
        <w:t xml:space="preserve">Electron beam evaporation risks</w:t>
      </w:r>
    </w:p>
    <w:p>
      <w:pPr>
        <w:numPr>
          <w:ilvl w:val="0"/>
          <w:numId w:val="2"/>
        </w:numPr>
      </w:pPr>
      <w:r>
        <w:rPr/>
        <w:t xml:space="preserve">Large-area perovskite submodules</w:t>
      </w:r>
    </w:p>
    <w:p>
      <w:pPr>
        <w:pStyle w:val="Heading1"/>
      </w:pPr>
      <w:bookmarkStart w:id="6" w:name="_Toc6"/>
      <w:r>
        <w:t>Report location:</w:t>
      </w:r>
      <w:bookmarkEnd w:id="6"/>
    </w:p>
    <w:p>
      <w:hyperlink r:id="rId8" w:history="1">
        <w:r>
          <w:rPr>
            <w:color w:val="2980b9"/>
            <w:u w:val="single"/>
          </w:rPr>
          <w:t xml:space="preserve">https://www.fullpicture.app/item/093f7a53fad64a4423ab6d48cdc9a795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6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542435122003002" TargetMode="External"/><Relationship Id="rId8" Type="http://schemas.openxmlformats.org/officeDocument/2006/relationships/hyperlink" Target="https://www.fullpicture.app/item/093f7a53fad64a4423ab6d48cdc9a7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2023-02-23T03:18:32+01:00</dcterms:created>
  <dcterms:modified xsi:type="dcterms:W3CDTF">2023-02-23T03:18:32+01:00</dcterms:modified>
</cp:coreProperties>
</file>

<file path=docProps/custom.xml><?xml version="1.0" encoding="utf-8"?>
<Properties xmlns="http://schemas.openxmlformats.org/officeDocument/2006/custom-properties" xmlns:vt="http://schemas.openxmlformats.org/officeDocument/2006/docPropsVTypes"/>
</file>