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共价药物的复兴| 自然评论药物发现</w:t>
      </w:r>
      <w:br/>
      <w:hyperlink r:id="rId7" w:history="1">
        <w:r>
          <w:rPr>
            <w:color w:val="2980b9"/>
            <w:u w:val="single"/>
          </w:rPr>
          <w:t xml:space="preserve">https://www.nature.com/articles/nrd3410</w:t>
        </w:r>
      </w:hyperlink>
    </w:p>
    <w:p>
      <w:pPr>
        <w:pStyle w:val="Heading1"/>
      </w:pPr>
      <w:bookmarkStart w:id="2" w:name="_Toc2"/>
      <w:r>
        <w:t>Article summary:</w:t>
      </w:r>
      <w:bookmarkEnd w:id="2"/>
    </w:p>
    <w:p>
      <w:pPr>
        <w:jc w:val="both"/>
      </w:pPr>
      <w:r>
        <w:rPr/>
        <w:t xml:space="preserve">1. 传统上，共价药物被认为与非共价药物不同，因为它们通过与靶标形成共价键来获得部分亲和力。然而，由于担心潜在的脱靶反应性，共价药物在药物发现计划中一直不受欢迎。</w:t>
      </w:r>
    </w:p>
    <w:p>
      <w:pPr>
        <w:jc w:val="both"/>
      </w:pPr>
      <w:r>
        <w:rPr/>
        <w:t xml:space="preserve">2. 尽管存在一些风险和挑战，但共价药物已经被批准用于多种临床适应症，并对人类健康产生了积极影响。此外，共价药物也是制药行业中非常有利可图的治疗类别。</w:t>
      </w:r>
    </w:p>
    <w:p>
      <w:pPr>
        <w:jc w:val="both"/>
      </w:pPr>
      <w:r>
        <w:rPr/>
        <w:t xml:space="preserve">3. 共价药物在抗感染、癌症、胃肠道疾病以及中枢神经系统和心血管适应症等领域具有广泛的应用。其中一些药物已成为畅销药品，并对患者人群产生了重要影响。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这篇文章主要讨论了共价药物的复兴以及其与非共价药物的区别。然而，文章存在一些潜在的偏见和片面报道。</w:t>
      </w:r>
    </w:p>
    <w:p>
      <w:pPr>
        <w:jc w:val="both"/>
      </w:pPr>
      <w:r>
        <w:rPr/>
        <w:t xml:space="preserve"/>
      </w:r>
    </w:p>
    <w:p>
      <w:pPr>
        <w:jc w:val="both"/>
      </w:pPr>
      <w:r>
        <w:rPr/>
        <w:t xml:space="preserve">首先，文章提到共价药物在过去被认为是不受欢迎的，并且人们对其潜在的脱靶反应性表示担忧。然而，文章没有提供足够的证据来支持这种观点。虽然有一些共价药物可能会引发肝毒性等副作用，但并不代表所有共价药物都存在这样的风险。因此，文章对于共价药物的负面评价可能是基于个别案例而不具有普遍性。</w:t>
      </w:r>
    </w:p>
    <w:p>
      <w:pPr>
        <w:jc w:val="both"/>
      </w:pPr>
      <w:r>
        <w:rPr/>
        <w:t xml:space="preserve"/>
      </w:r>
    </w:p>
    <w:p>
      <w:pPr>
        <w:jc w:val="both"/>
      </w:pPr>
      <w:r>
        <w:rPr/>
        <w:t xml:space="preserve">其次，文章强调了共价药物在临床上的广泛应用和商业成功。然而，这种观点可能存在宣传内容和偏袒之嫌。文章提到三种销售额巨大的共价抑制剂，并将其作为证明共价药物成功的例子。然而，这只是少数几个成功案例，并不能代表整个领域的情况。同时，文章没有提及其他可能存在的风险和挑战，如耐药性、剂量控制等问题。</w:t>
      </w:r>
    </w:p>
    <w:p>
      <w:pPr>
        <w:jc w:val="both"/>
      </w:pPr>
      <w:r>
        <w:rPr/>
        <w:t xml:space="preserve"/>
      </w:r>
    </w:p>
    <w:p>
      <w:pPr>
        <w:jc w:val="both"/>
      </w:pPr>
      <w:r>
        <w:rPr/>
        <w:t xml:space="preserve">此外，在讨论TCIs时，文章没有平等地呈现双方的观点。文章强调了TCIs相对于可逆抑制剂或机制性失活剂的优势，但没有提及可能存在的缺点和风险。这种片面报道可能导致读者对TCIs的理解不够全面。</w:t>
      </w:r>
    </w:p>
    <w:p>
      <w:pPr>
        <w:jc w:val="both"/>
      </w:pPr>
      <w:r>
        <w:rPr/>
        <w:t xml:space="preserve"/>
      </w:r>
    </w:p>
    <w:p>
      <w:pPr>
        <w:jc w:val="both"/>
      </w:pPr>
      <w:r>
        <w:rPr/>
        <w:t xml:space="preserve">最后，文章没有提供足够的证据来支持其主张。例如，文章声称共价药物已经取得了巨大的商业成功，并且对人类健康产生了积极影响。然而，文章没有提供具体数据或研究结果来支持这一观点。因此，读者很难判断这些主张是否真实可信。</w:t>
      </w:r>
    </w:p>
    <w:p>
      <w:pPr>
        <w:jc w:val="both"/>
      </w:pPr>
      <w:r>
        <w:rPr/>
        <w:t xml:space="preserve"/>
      </w:r>
    </w:p>
    <w:p>
      <w:pPr>
        <w:jc w:val="both"/>
      </w:pPr>
      <w:r>
        <w:rPr/>
        <w:t xml:space="preserve">综上所述，这篇文章在讨论共价药物时存在一些潜在的偏见和片面报道。它没有平等地呈现双方观点，并且缺乏充分的证据来支持其主张。因此，在阅读和引用该文章时需要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共价药物的脱靶反应性和副作用风险
</w:t>
      </w:r>
    </w:p>
    <w:p>
      <w:pPr>
        <w:spacing w:after="0"/>
        <w:numPr>
          <w:ilvl w:val="0"/>
          <w:numId w:val="2"/>
        </w:numPr>
      </w:pPr>
      <w:r>
        <w:rPr/>
        <w:t xml:space="preserve">共价药物的商业成功案例以及整个领域的情况
</w:t>
      </w:r>
    </w:p>
    <w:p>
      <w:pPr>
        <w:spacing w:after="0"/>
        <w:numPr>
          <w:ilvl w:val="0"/>
          <w:numId w:val="2"/>
        </w:numPr>
      </w:pPr>
      <w:r>
        <w:rPr/>
        <w:t xml:space="preserve">共价药物与非共价药物的区别和优势
</w:t>
      </w:r>
    </w:p>
    <w:p>
      <w:pPr>
        <w:spacing w:after="0"/>
        <w:numPr>
          <w:ilvl w:val="0"/>
          <w:numId w:val="2"/>
        </w:numPr>
      </w:pPr>
      <w:r>
        <w:rPr/>
        <w:t xml:space="preserve">TCIs的优势、缺点和风险
</w:t>
      </w:r>
    </w:p>
    <w:p>
      <w:pPr>
        <w:spacing w:after="0"/>
        <w:numPr>
          <w:ilvl w:val="0"/>
          <w:numId w:val="2"/>
        </w:numPr>
      </w:pPr>
      <w:r>
        <w:rPr/>
        <w:t xml:space="preserve">共价药物对人类健康的影响和具体数据
</w:t>
      </w:r>
    </w:p>
    <w:p>
      <w:pPr>
        <w:numPr>
          <w:ilvl w:val="0"/>
          <w:numId w:val="2"/>
        </w:numPr>
      </w:pPr>
      <w:r>
        <w:rPr/>
        <w:t xml:space="preserve">其他可能存在的风险和挑战</w:t>
      </w:r>
    </w:p>
    <w:p>
      <w:pPr>
        <w:pStyle w:val="Heading1"/>
      </w:pPr>
      <w:bookmarkStart w:id="6" w:name="_Toc6"/>
      <w:r>
        <w:t>Report location:</w:t>
      </w:r>
      <w:bookmarkEnd w:id="6"/>
    </w:p>
    <w:p>
      <w:hyperlink r:id="rId8" w:history="1">
        <w:r>
          <w:rPr>
            <w:color w:val="2980b9"/>
            <w:u w:val="single"/>
          </w:rPr>
          <w:t xml:space="preserve">https://www.fullpicture.app/item/0948680d28bc0108951914c5cb51c158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4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d3410" TargetMode="External"/><Relationship Id="rId8" Type="http://schemas.openxmlformats.org/officeDocument/2006/relationships/hyperlink" Target="https://www.fullpicture.app/item/0948680d28bc0108951914c5cb51c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2024-01-07T08:07:44+01:00</dcterms:created>
  <dcterms:modified xsi:type="dcterms:W3CDTF">2024-01-07T08:07:44+01:00</dcterms:modified>
</cp:coreProperties>
</file>

<file path=docProps/custom.xml><?xml version="1.0" encoding="utf-8"?>
<Properties xmlns="http://schemas.openxmlformats.org/officeDocument/2006/custom-properties" xmlns:vt="http://schemas.openxmlformats.org/officeDocument/2006/docPropsVTypes"/>
</file>