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Use of NACSELD and EASL-CLIF Classification Systems of A... : Official journal of the American College of Gastroenterology | ACG</w:t></w:r><w:br/><w:hyperlink r:id="rId7" w:history="1"><w:r><w:rPr><w:color w:val="2980b9"/><w:u w:val="single"/></w:rPr><w:t xml:space="preserve">https://journals.lww.com/ajg/pages/articleviewer.aspx?year=2020&issue=12000&article=00022&type=Fulltext</w:t></w:r></w:hyperlink></w:p><w:p><w:pPr><w:pStyle w:val="Heading1"/></w:pPr><w:bookmarkStart w:id="2" w:name="_Toc2"/><w:r><w:t>Article summary:</w:t></w:r><w:bookmarkEnd w:id="2"/></w:p><w:p><w:pPr><w:jc w:val="both"/></w:pPr><w:r><w:rPr/><w:t xml:space="preserve">1. This article discusses the use of two classification systems, the European Association for the Study of Liver-Chronic Liver Failure (EASL-CLIF) and North American Consortium for the Study of End-Stage Liver Disease (NACSELD), to diagnose acute-on-chronic liver failure (ACLF).</w:t></w:r></w:p><w:p><w:pPr><w:jc w:val="both"/></w:pPr><w:r><w:rPr/><w:t xml:space="preserve">2. The study aimed to compare the utility of these two criteria in a prospective cohort of hospitalized cirrhotic patients for prognosis.</w:t></w:r></w:p><w:p><w:pPr><w:jc w:val="both"/></w:pPr><w:r><w:rPr/><w:t xml:space="preserve">3. Data was collected from a 2100-bed tertiary academic center in Eastern China, including demographics, medical history, etiology of cirrhosis, admission reason(s), physical examination, laboratory data, radiological results, mode of decompensation and precipitating events of ACLF at admission and during hospitalization.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as it provides detailed information on the use of two classification systems to diagnose ACLF. The authors provide a clear description of their study design and methodology which adds to its trustworthiness. Furthermore, they provide evidence from previous studies that support their claims which further adds to its reliability. </w:t></w:r></w:p><w:p><w:pPr><w:jc w:val="both"/></w:pPr><w:r><w:rPr/><w:t xml:space="preserve">However, there are some potential biases that should be noted. Firstly, the study was conducted in one hospital in Eastern China which may limit its generalizability to other settings or populations. Secondly, there is no discussion on possible risks associated with using these criteria which could be explored further. Additionally, there is no mention of any counterarguments or alternative perspectives which could have been included for a more balanced view on this topic. Finally, there is some promotional content present in the article as it mentions the journal it was published in multiple times throughout the text which could be seen as biased towards that particular journal.</w:t></w:r></w:p><w:p><w:pPr><w:pStyle w:val="Heading1"/></w:pPr><w:bookmarkStart w:id="5" w:name="_Toc5"/><w:r><w:t>Topics for further research:</w:t></w:r><w:bookmarkEnd w:id="5"/></w:p><w:p><w:pPr><w:spacing w:after="0"/><w:numPr><w:ilvl w:val="0"/><w:numId w:val="2"/></w:numPr></w:pPr><w:r><w:rPr/><w:t xml:space="preserve">ACLF diagnosis risk factors </w:t></w:r></w:p><w:p><w:pPr><w:spacing w:after="0"/><w:numPr><w:ilvl w:val="0"/><w:numId w:val="2"/></w:numPr></w:pPr><w:r><w:rPr/><w:t xml:space="preserve">ACLF diagnosis accuracy </w:t></w:r></w:p><w:p><w:pPr><w:spacing w:after="0"/><w:numPr><w:ilvl w:val="0"/><w:numId w:val="2"/></w:numPr></w:pPr><w:r><w:rPr/><w:t xml:space="preserve">ACLF diagnosis criteria comparison </w:t></w:r></w:p><w:p><w:pPr><w:spacing w:after="0"/><w:numPr><w:ilvl w:val="0"/><w:numId w:val="2"/></w:numPr></w:pPr><w:r><w:rPr/><w:t xml:space="preserve">ACLF diagnosis in different settings </w:t></w:r></w:p><w:p><w:pPr><w:spacing w:after="0"/><w:numPr><w:ilvl w:val="0"/><w:numId w:val="2"/></w:numPr></w:pPr><w:r><w:rPr/><w:t xml:space="preserve">ACLF diagnosis alternative perspectives </w:t></w:r></w:p><w:p><w:pPr><w:numPr><w:ilvl w:val="0"/><w:numId w:val="2"/></w:numPr></w:pPr><w:r><w:rPr/><w:t xml:space="preserve">ACLF diagnosis ethical considerations</w:t></w:r></w:p><w:p><w:pPr><w:pStyle w:val="Heading1"/></w:pPr><w:bookmarkStart w:id="6" w:name="_Toc6"/><w:r><w:t>Report location:</w:t></w:r><w:bookmarkEnd w:id="6"/></w:p><w:p><w:hyperlink r:id="rId8" w:history="1"><w:r><w:rPr><w:color w:val="2980b9"/><w:u w:val="single"/></w:rPr><w:t xml:space="preserve">https://www.fullpicture.app/item/0a43b8a157c01e76b9e299d63e0b111e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C2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ajg/pages/articleviewer.aspx?year=2020&amp;issue=12000&amp;article=00022&amp;type=Fulltext" TargetMode="External"/><Relationship Id="rId8" Type="http://schemas.openxmlformats.org/officeDocument/2006/relationships/hyperlink" Target="https://www.fullpicture.app/item/0a43b8a157c01e76b9e299d63e0b11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2023-02-28T04:30:32+01:00</dcterms:created>
  <dcterms:modified xsi:type="dcterms:W3CDTF">2023-02-28T04:30:32+01:00</dcterms:modified>
</cp:coreProperties>
</file>

<file path=docProps/custom.xml><?xml version="1.0" encoding="utf-8"?>
<Properties xmlns="http://schemas.openxmlformats.org/officeDocument/2006/custom-properties" xmlns:vt="http://schemas.openxmlformats.org/officeDocument/2006/docPropsVTypes"/>
</file>