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N-methyl-D-aspartate receptor availability in first-episode psychosis: a PET-MR brain imaging study | Translational Psychiatry</w:t>
      </w:r>
      <w:br/>
      <w:hyperlink r:id="rId7" w:history="1">
        <w:r>
          <w:rPr>
            <w:color w:val="2980b9"/>
            <w:u w:val="single"/>
          </w:rPr>
          <w:t xml:space="preserve">https://www.nature.com/articles/s41398-021-01540-2</w:t>
        </w:r>
      </w:hyperlink>
    </w:p>
    <w:p>
      <w:pPr>
        <w:pStyle w:val="Heading1"/>
      </w:pPr>
      <w:bookmarkStart w:id="2" w:name="_Toc2"/>
      <w:r>
        <w:t>Article summary:</w:t>
      </w:r>
      <w:bookmarkEnd w:id="2"/>
    </w:p>
    <w:p>
      <w:pPr>
        <w:jc w:val="both"/>
      </w:pPr>
      <w:r>
        <w:rPr/>
        <w:t xml:space="preserve">1. This study investigated the in vivo availability of N-methyl-D-aspartate receptor (NMDAR) in patients with first-episode psychosis (FEP).</w:t>
      </w:r>
    </w:p>
    <w:p>
      <w:pPr>
        <w:jc w:val="both"/>
      </w:pPr>
      <w:r>
        <w:rPr/>
        <w:t xml:space="preserve">2. The study found that patients had significantly lower NMDAR availability in the hippocampus relative to matched healthy controls.</w:t>
      </w:r>
    </w:p>
    <w:p>
      <w:pPr>
        <w:jc w:val="both"/>
      </w:pPr>
      <w:r>
        <w:rPr/>
        <w:t xml:space="preserve">3. The findings are consistent with the NMDAR hypofunction hypothesis and identify the hippocampus as a key locus for relative NMDAR hypofunction.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 written and provides a comprehensive overview of the research conducted, including detailed information on methods, results, and discussion. The authors have provided sufficient evidence to support their claims and conclusions, and have included relevant references to back up their assertions.</w:t>
      </w:r>
    </w:p>
    <w:p>
      <w:pPr>
        <w:jc w:val="both"/>
      </w:pPr>
      <w:r>
        <w:rPr/>
        <w:t xml:space="preserve">However, there are some potential biases that should be noted. Firstly, the sample size was relatively small (n=40), which may limit the generalizability of the findings. Secondly, all participants were recruited from FEP services in London, UK; thus, it is unclear whether these results would be applicable to other populations or locations. Thirdly, all participants were screened for eligibility prior to scanning; thus, it is possible that those who withdrew following screening may have had different characteristics than those who were included in the study. Finally, while urine drug screens were performed on all participants prior to scanning, it is possible that some participants may have been using substances that could affect NMDAR function but were not detected by this method.</w:t>
      </w:r>
    </w:p>
    <w:p>
      <w:pPr>
        <w:jc w:val="both"/>
      </w:pPr>
      <w:r>
        <w:rPr/>
        <w:t xml:space="preserve">In conclusion, this article provides an interesting insight into NMDAR availability in FEP patients and its potential association with symptom severity. However, due to potential biases mentioned above, further research is needed before any definitive conclusions can be drawn from these findings.</w:t>
      </w:r>
    </w:p>
    <w:p>
      <w:pPr>
        <w:pStyle w:val="Heading1"/>
      </w:pPr>
      <w:bookmarkStart w:id="5" w:name="_Toc5"/>
      <w:r>
        <w:t>Topics for further research:</w:t>
      </w:r>
      <w:bookmarkEnd w:id="5"/>
    </w:p>
    <w:p>
      <w:pPr>
        <w:spacing w:after="0"/>
        <w:numPr>
          <w:ilvl w:val="0"/>
          <w:numId w:val="2"/>
        </w:numPr>
      </w:pPr>
      <w:r>
        <w:rPr/>
        <w:t xml:space="preserve">NMDAR availability in FEP patients</w:t>
      </w:r>
    </w:p>
    <w:p>
      <w:pPr>
        <w:spacing w:after="0"/>
        <w:numPr>
          <w:ilvl w:val="0"/>
          <w:numId w:val="2"/>
        </w:numPr>
      </w:pPr>
      <w:r>
        <w:rPr/>
        <w:t xml:space="preserve">NMDAR function and substance use</w:t>
      </w:r>
    </w:p>
    <w:p>
      <w:pPr>
        <w:spacing w:after="0"/>
        <w:numPr>
          <w:ilvl w:val="0"/>
          <w:numId w:val="2"/>
        </w:numPr>
      </w:pPr>
      <w:r>
        <w:rPr/>
        <w:t xml:space="preserve">Sample size bias in research</w:t>
      </w:r>
    </w:p>
    <w:p>
      <w:pPr>
        <w:spacing w:after="0"/>
        <w:numPr>
          <w:ilvl w:val="0"/>
          <w:numId w:val="2"/>
        </w:numPr>
      </w:pPr>
      <w:r>
        <w:rPr/>
        <w:t xml:space="preserve">Generalizability of research findings</w:t>
      </w:r>
    </w:p>
    <w:p>
      <w:pPr>
        <w:spacing w:after="0"/>
        <w:numPr>
          <w:ilvl w:val="0"/>
          <w:numId w:val="2"/>
        </w:numPr>
      </w:pPr>
      <w:r>
        <w:rPr/>
        <w:t xml:space="preserve">Urine drug screening accuracy</w:t>
      </w:r>
    </w:p>
    <w:p>
      <w:pPr>
        <w:numPr>
          <w:ilvl w:val="0"/>
          <w:numId w:val="2"/>
        </w:numPr>
      </w:pPr>
      <w:r>
        <w:rPr/>
        <w:t xml:space="preserve">Association between NMDAR availability and symptom severity</w:t>
      </w:r>
    </w:p>
    <w:p>
      <w:pPr>
        <w:pStyle w:val="Heading1"/>
      </w:pPr>
      <w:bookmarkStart w:id="6" w:name="_Toc6"/>
      <w:r>
        <w:t>Report location:</w:t>
      </w:r>
      <w:bookmarkEnd w:id="6"/>
    </w:p>
    <w:p>
      <w:hyperlink r:id="rId8" w:history="1">
        <w:r>
          <w:rPr>
            <w:color w:val="2980b9"/>
            <w:u w:val="single"/>
          </w:rPr>
          <w:t xml:space="preserve">https://www.fullpicture.app/item/0a95f880d0b8b00151cb06fa32057685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3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1-01540-2" TargetMode="External"/><Relationship Id="rId8" Type="http://schemas.openxmlformats.org/officeDocument/2006/relationships/hyperlink" Target="https://www.fullpicture.app/item/0a95f880d0b8b00151cb06fa320576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2023-03-05T17:40:10+01:00</dcterms:created>
  <dcterms:modified xsi:type="dcterms:W3CDTF">2023-03-05T17:40:10+01:00</dcterms:modified>
</cp:coreProperties>
</file>

<file path=docProps/custom.xml><?xml version="1.0" encoding="utf-8"?>
<Properties xmlns="http://schemas.openxmlformats.org/officeDocument/2006/custom-properties" xmlns:vt="http://schemas.openxmlformats.org/officeDocument/2006/docPropsVTypes"/>
</file>