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Role of amorphous layer and interfaces on the tensile behaviors of triple-phase Ti/Ni nanolaminates: A molecular dynamics study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https://www.sciencedirect.com/science/article/pii/S0925838821006903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三相Ti/Ni纳米层板的力学性能与晶态和非晶态相的比例密切相关，非晶层间距增加会降低其强度，但当非晶层间距满足d≤3.91 nm时可以获得可接受的塑性性能。</w:t>
      </w:r>
    </w:p>
    <w:p>
      <w:pPr>
        <w:jc w:val="both"/>
      </w:pPr>
      <w:r>
        <w:rPr/>
        <w:t xml:space="preserve">2. 晶态/晶态界面和非晶态/晶态界面在纳米层板的塑性变形中起着重要作用。前者阻碍并吸收晶粒边界向界面移动，然后作为位错源；后者容纳局部变形，并成为不同塑性变形载体核化的首选位置。</w:t>
      </w:r>
    </w:p>
    <w:p>
      <w:pPr>
        <w:jc w:val="both"/>
      </w:pPr>
      <w:r>
        <w:rPr/>
        <w:t xml:space="preserve">3. 不同相之间的塑性共同变形主导了三相纳米层板的塑性变形。这些不同相之间的界面还可以连接不同相中的塑性变形载体，从而提高整体可塑性。这些研究结果有助于设计和应用先进的Ti/Ni纳米层板材料。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作为一篇科学研究论文，该文章在方法和结果方面都有其价值。然而，在讨论和结论部分，作者可能存在一些偏见和不足之处。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首先，文章没有充分探讨可能的风险或负面影响。虽然该研究旨在促进先进材料的设计和应用，但是对于这种新型材料的潜在危险或环境影响等问题，文章并未进行深入探讨。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其次，文章可能存在片面报道的问题。作者只关注了三种模型，并没有考虑其他可能的情况。此外，文章也没有提及其他相关研究的结果或观点。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此外，在某些地方，文章可能存在缺失考虑点或所提出主张缺乏证据的问题。例如，在讨论中提到“可接受的塑性性能可以在非晶层间距满足d≤3.91 nm时实现”，但是并没有给出具体证据或解释。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存在一定程度上的偏袒。作者强调了Ti/Ni纳米层板材料的优异性能，并将其描述为未来工业中无与伦比的材料。然而，在讨论中并未提及其他类似材料或竞争对手，并且也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综上所述，尽管该研究具有一定价值，但是作者需要更加客观、全面地呈现自己的观点，并注意到可能存在的风险和负面影响。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Biased reporting and limited scope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and consideration
</w:t>
      </w:r>
    </w:p>
    <w:p>
      <w:pPr>
        <w:spacing w:after="0"/>
        <w:numPr>
          <w:ilvl w:val="0"/>
          <w:numId w:val="2"/>
        </w:numPr>
      </w:pPr>
      <w:r>
        <w:rPr/>
        <w:t xml:space="preserve">Other relevant research and viewpoints
</w:t>
      </w:r>
    </w:p>
    <w:p>
      <w:pPr>
        <w:spacing w:after="0"/>
        <w:numPr>
          <w:ilvl w:val="0"/>
          <w:numId w:val="2"/>
        </w:numPr>
      </w:pPr>
      <w:r>
        <w:rPr/>
        <w:t xml:space="preserve">Missing points and unproven claims
</w:t>
      </w:r>
    </w:p>
    <w:p>
      <w:pPr>
        <w:numPr>
          <w:ilvl w:val="0"/>
          <w:numId w:val="2"/>
        </w:numPr>
      </w:pPr>
      <w:r>
        <w:rPr/>
        <w:t xml:space="preserve">Fairness and objectivity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https://www.fullpicture.app/item/0c3c6f7643cb47160b72c92234e94736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77B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25838821006903" TargetMode="External"/><Relationship Id="rId8" Type="http://schemas.openxmlformats.org/officeDocument/2006/relationships/hyperlink" Target="https://www.fullpicture.app/item/0c3c6f7643cb47160b72c92234e947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2024-01-09T05:18:51+01:00</dcterms:created>
  <dcterms:modified xsi:type="dcterms:W3CDTF">2024-01-09T05:18:51+01:00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