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FINANCE CODE CHAPTER 151. REGULATION OF MONEY SERVICES BUSINESSES</w:t>
      </w:r>
      <w:br/>
      <w:hyperlink r:id="rId7" w:history="1">
        <w:r>
          <w:rPr>
            <w:color w:val="2980b9"/>
            <w:u w:val="single"/>
          </w:rPr>
          <w:t xml:space="preserve">https://statutes.capitol.texas.gov/Docs/FI/htm/FI.151.htm</w:t>
        </w:r>
      </w:hyperlink>
    </w:p>
    <w:p>
      <w:pPr>
        <w:pStyle w:val="Heading1"/>
      </w:pPr>
      <w:bookmarkStart w:id="2" w:name="_Toc2"/>
      <w:r>
        <w:t>Article summary:</w:t>
      </w:r>
      <w:bookmarkEnd w:id="2"/>
    </w:p>
    <w:p>
      <w:pPr>
        <w:jc w:val="both"/>
      </w:pPr>
      <w:r>
        <w:rPr/>
        <w:t xml:space="preserve">1. The Finance Code Chapter 151 regulates money services businesses in Texas.</w:t>
      </w:r>
    </w:p>
    <w:p>
      <w:pPr>
        <w:jc w:val="both"/>
      </w:pPr>
      <w:r>
        <w:rPr/>
        <w:t xml:space="preserve">2. The article defines general terms that apply to applicants and holders of money services licenses, as well as specific terms for money transmission and currency exchange.</w:t>
      </w:r>
    </w:p>
    <w:p>
      <w:pPr>
        <w:jc w:val="both"/>
      </w:pPr>
      <w:r>
        <w:rPr/>
        <w:t xml:space="preserve">3. The article also outlines exclusions from the licensing requirement, such as federally insured financial institutions and certain government entities.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regulations governing money services businesses in Texas. It is clear and concise, with definitions provided for key terms related to money transmission and currency exchange. The article also provides a list of entities that are excluded from the licensing requirement, which helps to clarify who does not need to be licensed under this chapter. </w:t>
      </w:r>
    </w:p>
    <w:p>
      <w:pPr>
        <w:jc w:val="both"/>
      </w:pPr>
      <w:r>
        <w:rPr/>
        <w:t xml:space="preserve">The article is unbiased and presents both sides of the issue fairly, without any promotional content or partiality. All claims made are supported by evidence in the form of citations to relevant statutes or other sources of information. There are no missing points of consideration or unexplored counterarguments, as all relevant information is included in the text. Possible risks associated with money services businesses are noted throughout the article, ensuring that readers have a full understanding of the potential implications of engaging in these activities.</w:t>
      </w:r>
    </w:p>
    <w:p>
      <w:pPr>
        <w:pStyle w:val="Heading1"/>
      </w:pPr>
      <w:bookmarkStart w:id="5" w:name="_Toc5"/>
      <w:r>
        <w:t>Topics for further research:</w:t>
      </w:r>
      <w:bookmarkEnd w:id="5"/>
    </w:p>
    <w:p>
      <w:pPr>
        <w:spacing w:after="0"/>
        <w:numPr>
          <w:ilvl w:val="0"/>
          <w:numId w:val="2"/>
        </w:numPr>
      </w:pPr>
      <w:r>
        <w:rPr/>
        <w:t xml:space="preserve">Money services business compliance requirements</w:t>
      </w:r>
    </w:p>
    <w:p>
      <w:pPr>
        <w:spacing w:after="0"/>
        <w:numPr>
          <w:ilvl w:val="0"/>
          <w:numId w:val="2"/>
        </w:numPr>
      </w:pPr>
      <w:r>
        <w:rPr/>
        <w:t xml:space="preserve">Money services business registration process</w:t>
      </w:r>
    </w:p>
    <w:p>
      <w:pPr>
        <w:spacing w:after="0"/>
        <w:numPr>
          <w:ilvl w:val="0"/>
          <w:numId w:val="2"/>
        </w:numPr>
      </w:pPr>
      <w:r>
        <w:rPr/>
        <w:t xml:space="preserve">Money services business reporting requirements</w:t>
      </w:r>
    </w:p>
    <w:p>
      <w:pPr>
        <w:spacing w:after="0"/>
        <w:numPr>
          <w:ilvl w:val="0"/>
          <w:numId w:val="2"/>
        </w:numPr>
      </w:pPr>
      <w:r>
        <w:rPr/>
        <w:t xml:space="preserve">Money services business consumer protection</w:t>
      </w:r>
    </w:p>
    <w:p>
      <w:pPr>
        <w:spacing w:after="0"/>
        <w:numPr>
          <w:ilvl w:val="0"/>
          <w:numId w:val="2"/>
        </w:numPr>
      </w:pPr>
      <w:r>
        <w:rPr/>
        <w:t xml:space="preserve">Money services business enforcement actions</w:t>
      </w:r>
    </w:p>
    <w:p>
      <w:pPr>
        <w:numPr>
          <w:ilvl w:val="0"/>
          <w:numId w:val="2"/>
        </w:numPr>
      </w:pPr>
      <w:r>
        <w:rPr/>
        <w:t xml:space="preserve">Money services business licensing fees</w:t>
      </w:r>
    </w:p>
    <w:p>
      <w:pPr>
        <w:pStyle w:val="Heading1"/>
      </w:pPr>
      <w:bookmarkStart w:id="6" w:name="_Toc6"/>
      <w:r>
        <w:t>Report location:</w:t>
      </w:r>
      <w:bookmarkEnd w:id="6"/>
    </w:p>
    <w:p>
      <w:hyperlink r:id="rId8" w:history="1">
        <w:r>
          <w:rPr>
            <w:color w:val="2980b9"/>
            <w:u w:val="single"/>
          </w:rPr>
          <w:t xml:space="preserve">https://www.fullpicture.app/item/0ce69cd0038dab5db097c0f815e8f356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F3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tes.capitol.texas.gov/Docs/FI/htm/FI.151.htm" TargetMode="External"/><Relationship Id="rId8" Type="http://schemas.openxmlformats.org/officeDocument/2006/relationships/hyperlink" Target="https://www.fullpicture.app/item/0ce69cd0038dab5db097c0f815e8f3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2023-03-01T07:41:24+01:00</dcterms:created>
  <dcterms:modified xsi:type="dcterms:W3CDTF">2023-03-01T07:41:24+01:00</dcterms:modified>
</cp:coreProperties>
</file>

<file path=docProps/custom.xml><?xml version="1.0" encoding="utf-8"?>
<Properties xmlns="http://schemas.openxmlformats.org/officeDocument/2006/custom-properties" xmlns:vt="http://schemas.openxmlformats.org/officeDocument/2006/docPropsVTypes"/>
</file>