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 rakes in GH¢1 million from property tax in 5 months</w:t>
      </w:r>
      <w:br/>
      <w:hyperlink r:id="rId7" w:history="1">
        <w:r>
          <w:rPr>
            <w:color w:val="2980b9"/>
            <w:u w:val="single"/>
          </w:rPr>
          <w:t xml:space="preserve">https://www.ghanaweb.com/GhanaHomePage/business/GRA-rakes-in-GH-1-million-from-property-tax-in-5-months-1858073</w:t>
        </w:r>
      </w:hyperlink>
    </w:p>
    <w:p>
      <w:pPr>
        <w:pStyle w:val="Heading1"/>
      </w:pPr>
      <w:bookmarkStart w:id="2" w:name="_Toc2"/>
      <w:r>
        <w:t>Article summary:</w:t>
      </w:r>
      <w:bookmarkEnd w:id="2"/>
    </w:p>
    <w:p>
      <w:pPr>
        <w:jc w:val="both"/>
      </w:pPr>
      <w:r>
        <w:rPr/>
        <w:t xml:space="preserve">1. The Ghana Revenue Authority (GRA) has collected over GH¢1 million in property rates from June to October this year.</w:t>
      </w:r>
    </w:p>
    <w:p>
      <w:pPr>
        <w:jc w:val="both"/>
      </w:pPr>
      <w:r>
        <w:rPr/>
        <w:t xml:space="preserve">2. The GRA has deployed National Service Personnel to assist in the collection of property rates, aiming to increase revenue.</w:t>
      </w:r>
    </w:p>
    <w:p>
      <w:pPr>
        <w:jc w:val="both"/>
      </w:pPr>
      <w:r>
        <w:rPr/>
        <w:t xml:space="preserve">3. The myassembly.gov.gh platform introduced by the GRA allows for cashless payments of property rates and has helped boost revenue for some assemblies in the country.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"GRA rakes in GH¢1 million from property tax in 5 months" provides information about the Ghana Revenue Authority's (GRA) collection of property rates through the myassembly.gov.gh platform. While the article presents some facts and figures, there are several areas where critical analysis is needed to evaluate its content.</w:t>
      </w:r>
    </w:p>
    <w:p>
      <w:pPr>
        <w:jc w:val="both"/>
      </w:pPr>
      <w:r>
        <w:rPr/>
        <w:t xml:space="preserve"/>
      </w:r>
    </w:p>
    <w:p>
      <w:pPr>
        <w:jc w:val="both"/>
      </w:pPr>
      <w:r>
        <w:rPr/>
        <w:t xml:space="preserve">Firstly, the article mentions that the GRA has mobilized over GH¢1 million in property rates from June to October. However, it does not provide any context or comparison to assess whether this amount is significant or if it meets expectations. Without such information, it is difficult to determine the effectiveness of the collection efforts.</w:t>
      </w:r>
    </w:p>
    <w:p>
      <w:pPr>
        <w:jc w:val="both"/>
      </w:pPr>
      <w:r>
        <w:rPr/>
        <w:t xml:space="preserve"/>
      </w:r>
    </w:p>
    <w:p>
      <w:pPr>
        <w:jc w:val="both"/>
      </w:pPr>
      <w:r>
        <w:rPr/>
        <w:t xml:space="preserve">Secondly, the article states that National Service Personnel have been deployed to assist in the collection of property rates. While this may be seen as a positive step towards increasing revenue, there is no discussion about their qualifications or training for this task. It would be important to know if these personnel have sufficient knowledge and expertise in tax collection to ensure accurate and fair assessments.</w:t>
      </w:r>
    </w:p>
    <w:p>
      <w:pPr>
        <w:jc w:val="both"/>
      </w:pPr>
      <w:r>
        <w:rPr/>
        <w:t xml:space="preserve"/>
      </w:r>
    </w:p>
    <w:p>
      <w:pPr>
        <w:jc w:val="both"/>
      </w:pPr>
      <w:r>
        <w:rPr/>
        <w:t xml:space="preserve">Furthermore, the article claims that the myassembly.gov.gh platform will improve overall collection and expand payment brackets without increasing rates. However, there is no evidence provided to support this claim. It would be necessary to examine how exactly the platform achieves these goals and whether it has been successful thus far.</w:t>
      </w:r>
    </w:p>
    <w:p>
      <w:pPr>
        <w:jc w:val="both"/>
      </w:pPr>
      <w:r>
        <w:rPr/>
        <w:t xml:space="preserve"/>
      </w:r>
    </w:p>
    <w:p>
      <w:pPr>
        <w:jc w:val="both"/>
      </w:pPr>
      <w:r>
        <w:rPr/>
        <w:t xml:space="preserve">Additionally, the article mentions that defaulters of property rates will face consequences such as having their names published in newspapers and potentially having their properties sold. While this may serve as a deterrent for non-payment, it raises questions about due process and fairness. The article does not explore potential counterarguments or address concerns regarding individuals who may genuinely struggle to pay their property rates.</w:t>
      </w:r>
    </w:p>
    <w:p>
      <w:pPr>
        <w:jc w:val="both"/>
      </w:pPr>
      <w:r>
        <w:rPr/>
        <w:t xml:space="preserve"/>
      </w:r>
    </w:p>
    <w:p>
      <w:pPr>
        <w:jc w:val="both"/>
      </w:pPr>
      <w:r>
        <w:rPr/>
        <w:t xml:space="preserve">Moreover, there is a lack of discussion on potential biases or conflicts of interest within the GRA or other stakeholders involved in property rate collection. It would be important to consider any possible motivations behind promoting a cashless payment system or increasing revenue through property rates.</w:t>
      </w:r>
    </w:p>
    <w:p>
      <w:pPr>
        <w:jc w:val="both"/>
      </w:pPr>
      <w:r>
        <w:rPr/>
        <w:t xml:space="preserve"/>
      </w:r>
    </w:p>
    <w:p>
      <w:pPr>
        <w:jc w:val="both"/>
      </w:pPr>
      <w:r>
        <w:rPr/>
        <w:t xml:space="preserve">Overall, the article provides limited information and lacks critical analysis of the GRA's property rate collection efforts. It fails to address important considerations, such as the impact on individuals who may struggle to pay, potential biases or conflicts of interest, and the effectiveness of the myassembly.gov.gh platform. A more comprehensive analysis would require exploring these aspects and providing evidence to support the claims made in the article.</w:t>
      </w:r>
    </w:p>
    <w:p>
      <w:pPr>
        <w:pStyle w:val="Heading1"/>
      </w:pPr>
      <w:bookmarkStart w:id="5" w:name="_Toc5"/>
      <w:r>
        <w:t>Topics for further research:</w:t>
      </w:r>
      <w:bookmarkEnd w:id="5"/>
    </w:p>
    <w:p>
      <w:pPr>
        <w:spacing w:after="0"/>
        <w:numPr>
          <w:ilvl w:val="0"/>
          <w:numId w:val="2"/>
        </w:numPr>
      </w:pPr>
      <w:r>
        <w:rPr/>
        <w:t xml:space="preserve">Impact of property rates on low-income individuals in Ghana
</w:t>
      </w:r>
    </w:p>
    <w:p>
      <w:pPr>
        <w:spacing w:after="0"/>
        <w:numPr>
          <w:ilvl w:val="0"/>
          <w:numId w:val="2"/>
        </w:numPr>
      </w:pPr>
      <w:r>
        <w:rPr/>
        <w:t xml:space="preserve">Effectiveness of the myassembly.gov.gh platform in improving tax collection
</w:t>
      </w:r>
    </w:p>
    <w:p>
      <w:pPr>
        <w:spacing w:after="0"/>
        <w:numPr>
          <w:ilvl w:val="0"/>
          <w:numId w:val="2"/>
        </w:numPr>
      </w:pPr>
      <w:r>
        <w:rPr/>
        <w:t xml:space="preserve">Potential biases or conflicts of interest within the Ghana Revenue Authority
</w:t>
      </w:r>
    </w:p>
    <w:p>
      <w:pPr>
        <w:spacing w:after="0"/>
        <w:numPr>
          <w:ilvl w:val="0"/>
          <w:numId w:val="2"/>
        </w:numPr>
      </w:pPr>
      <w:r>
        <w:rPr/>
        <w:t xml:space="preserve">Due process and fairness in consequences for defaulters of property rates
</w:t>
      </w:r>
    </w:p>
    <w:p>
      <w:pPr>
        <w:spacing w:after="0"/>
        <w:numPr>
          <w:ilvl w:val="0"/>
          <w:numId w:val="2"/>
        </w:numPr>
      </w:pPr>
      <w:r>
        <w:rPr/>
        <w:t xml:space="preserve">Comparison of Ghana's property rates to other countries or regions
</w:t>
      </w:r>
    </w:p>
    <w:p>
      <w:pPr>
        <w:numPr>
          <w:ilvl w:val="0"/>
          <w:numId w:val="2"/>
        </w:numPr>
      </w:pPr>
      <w:r>
        <w:rPr/>
        <w:t xml:space="preserve">Training and qualifications of National Service Personnel in tax collection</w:t>
      </w:r>
    </w:p>
    <w:p>
      <w:pPr>
        <w:pStyle w:val="Heading1"/>
      </w:pPr>
      <w:bookmarkStart w:id="6" w:name="_Toc6"/>
      <w:r>
        <w:t>Report location:</w:t>
      </w:r>
      <w:bookmarkEnd w:id="6"/>
    </w:p>
    <w:p>
      <w:hyperlink r:id="rId8" w:history="1">
        <w:r>
          <w:rPr>
            <w:color w:val="2980b9"/>
            <w:u w:val="single"/>
          </w:rPr>
          <w:t xml:space="preserve">https://www.fullpicture.app/item/0d317e646128f2838cdb1774642059a4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EC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hanaweb.com/GhanaHomePage/business/GRA-rakes-in-GH-1-million-from-property-tax-in-5-months-1858073" TargetMode="External"/><Relationship Id="rId8" Type="http://schemas.openxmlformats.org/officeDocument/2006/relationships/hyperlink" Target="https://www.fullpicture.app/item/0d317e646128f2838cdb1774642059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2024-01-19T06:41:37+01:00</dcterms:created>
  <dcterms:modified xsi:type="dcterms:W3CDTF">2024-01-19T06:41:37+01:00</dcterms:modified>
</cp:coreProperties>
</file>

<file path=docProps/custom.xml><?xml version="1.0" encoding="utf-8"?>
<Properties xmlns="http://schemas.openxmlformats.org/officeDocument/2006/custom-properties" xmlns:vt="http://schemas.openxmlformats.org/officeDocument/2006/docPropsVTypes"/>
</file>