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the plant growth regulator chlormequat in food by liquid chromatography–electrospray ionisation tandem mass spectrometry - ScienceDirect</w:t>
      </w:r>
      <w:br/>
      <w:hyperlink r:id="rId7" w:history="1">
        <w:r>
          <w:rPr>
            <w:color w:val="2980b9"/>
            <w:u w:val="single"/>
          </w:rPr>
          <w:t xml:space="preserve">https://www.sciencedirect.com/science/article/pii/S0021967300002867?via%3Dihub</w:t>
        </w:r>
      </w:hyperlink>
    </w:p>
    <w:p>
      <w:pPr>
        <w:pStyle w:val="Heading1"/>
      </w:pPr>
      <w:bookmarkStart w:id="2" w:name="_Toc2"/>
      <w:r>
        <w:t>Article summary:</w:t>
      </w:r>
      <w:bookmarkEnd w:id="2"/>
    </w:p>
    <w:p>
      <w:pPr>
        <w:jc w:val="both"/>
      </w:pPr>
      <w:r>
        <w:rPr/>
        <w:t xml:space="preserve">1. Chlormequat chloride is a plant growth regulator used to reduce the risk of lodging and increase yields of wheat, rye, oats and barley.</w:t>
      </w:r>
    </w:p>
    <w:p>
      <w:pPr>
        <w:jc w:val="both"/>
      </w:pPr>
      <w:r>
        <w:rPr/>
        <w:t xml:space="preserve">2. Earlier methods for the determination of chlormequat include thin-layer chromatography, headspace gas chromatography, gas chromatography after derivatisation with sodium benzenethiolate and colorimetry.</w:t>
      </w:r>
    </w:p>
    <w:p>
      <w:pPr>
        <w:jc w:val="both"/>
      </w:pPr>
      <w:r>
        <w:rPr/>
        <w:t xml:space="preserve">3. The aim of the present study was to develop a confirmatory, quantitative method for the analysis of chlormequat that can achieve low μg kg−1 detection levels in a variety of food commodities (pears, pear purée, pear juice concentrate, and cereals).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use of liquid chromatography–electrospray ionisation tandem mass spectrometry (LC–ESI–MS/MS) for the determination of chlormequat residues in food. The authors provide a comprehensive review of earlier methods used for this purpose and discuss their limitations. They then describe their own method which uses radio-labelled chlormequat chloride to optimise the clean-up step and an isotope labelled internal standard for quantitative determination. The article is well written and provides detailed information on the materials used as well as on the sample extraction and clean-up procedure employed by the authors. </w:t>
      </w:r>
    </w:p>
    <w:p>
      <w:pPr>
        <w:jc w:val="both"/>
      </w:pPr>
      <w:r>
        <w:rPr/>
        <w:t xml:space="preserve">The article does not appear to be biased or one-sided in its reporting; it presents both sides equally by providing an overview of earlier methods as well as describing their limitations before introducing their own method. Furthermore, all claims made are supported by evidence from relevant studies cited throughout the text. There are no missing points or counterarguments that have been overlooked by the authors; they have provided a thorough description of their method which appears to be reliable and trustworthy. </w:t>
      </w:r>
    </w:p>
    <w:p>
      <w:pPr>
        <w:jc w:val="both"/>
      </w:pPr>
      <w:r>
        <w:rPr/>
        <w:t xml:space="preserve">The only potential issue with this article is that it does not mention any possible risks associated with using LC–ESI–MS/MS for determining chlormequat residues in food; however, this is likely due to space constraints rather than any intentional omission on behalf of the authors. All in all, this article appears to be reliable and trustworthy; it provides detailed information on an effective method for determining chlormequat residues in food without any apparent bias or promotional content.</w:t>
      </w:r>
    </w:p>
    <w:p>
      <w:pPr>
        <w:pStyle w:val="Heading1"/>
      </w:pPr>
      <w:bookmarkStart w:id="5" w:name="_Toc5"/>
      <w:r>
        <w:t>Topics for further research:</w:t>
      </w:r>
      <w:bookmarkEnd w:id="5"/>
    </w:p>
    <w:p>
      <w:pPr>
        <w:spacing w:after="0"/>
        <w:numPr>
          <w:ilvl w:val="0"/>
          <w:numId w:val="2"/>
        </w:numPr>
      </w:pPr>
      <w:r>
        <w:rPr/>
        <w:t xml:space="preserve">Chlormequat residues in food safety</w:t>
      </w:r>
    </w:p>
    <w:p>
      <w:pPr>
        <w:spacing w:after="0"/>
        <w:numPr>
          <w:ilvl w:val="0"/>
          <w:numId w:val="2"/>
        </w:numPr>
      </w:pPr>
      <w:r>
        <w:rPr/>
        <w:t xml:space="preserve">LC–ESI–MS/MS applications</w:t>
      </w:r>
    </w:p>
    <w:p>
      <w:pPr>
        <w:spacing w:after="0"/>
        <w:numPr>
          <w:ilvl w:val="0"/>
          <w:numId w:val="2"/>
        </w:numPr>
      </w:pPr>
      <w:r>
        <w:rPr/>
        <w:t xml:space="preserve">Radio-labelled chlormequat chloride</w:t>
      </w:r>
    </w:p>
    <w:p>
      <w:pPr>
        <w:spacing w:after="0"/>
        <w:numPr>
          <w:ilvl w:val="0"/>
          <w:numId w:val="2"/>
        </w:numPr>
      </w:pPr>
      <w:r>
        <w:rPr/>
        <w:t xml:space="preserve">Isotope labelled internal standard</w:t>
      </w:r>
    </w:p>
    <w:p>
      <w:pPr>
        <w:spacing w:after="0"/>
        <w:numPr>
          <w:ilvl w:val="0"/>
          <w:numId w:val="2"/>
        </w:numPr>
      </w:pPr>
      <w:r>
        <w:rPr/>
        <w:t xml:space="preserve">Sample extraction and clean-up procedure</w:t>
      </w:r>
    </w:p>
    <w:p>
      <w:pPr>
        <w:numPr>
          <w:ilvl w:val="0"/>
          <w:numId w:val="2"/>
        </w:numPr>
      </w:pPr>
      <w:r>
        <w:rPr/>
        <w:t xml:space="preserve">Risks associated with LC–ESI–MS/MS</w:t>
      </w:r>
    </w:p>
    <w:p>
      <w:pPr>
        <w:pStyle w:val="Heading1"/>
      </w:pPr>
      <w:bookmarkStart w:id="6" w:name="_Toc6"/>
      <w:r>
        <w:t>Report location:</w:t>
      </w:r>
      <w:bookmarkEnd w:id="6"/>
    </w:p>
    <w:p>
      <w:hyperlink r:id="rId8" w:history="1">
        <w:r>
          <w:rPr>
            <w:color w:val="2980b9"/>
            <w:u w:val="single"/>
          </w:rPr>
          <w:t xml:space="preserve">https://www.fullpicture.app/item/0d46b5fac32286b373166e3b671f245b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2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67300002867?via%3Dihub" TargetMode="External"/><Relationship Id="rId8" Type="http://schemas.openxmlformats.org/officeDocument/2006/relationships/hyperlink" Target="https://www.fullpicture.app/item/0d46b5fac32286b373166e3b671f2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2023-03-08T02:11:26+01:00</dcterms:created>
  <dcterms:modified xsi:type="dcterms:W3CDTF">2023-03-08T02:11:26+01:00</dcterms:modified>
</cp:coreProperties>
</file>

<file path=docProps/custom.xml><?xml version="1.0" encoding="utf-8"?>
<Properties xmlns="http://schemas.openxmlformats.org/officeDocument/2006/custom-properties" xmlns:vt="http://schemas.openxmlformats.org/officeDocument/2006/docPropsVTypes"/>
</file>