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Ultrahigh specific energy of layer by layer polypyrrole/graphene oxide/multi-walled carbon nanotube| polypyrrole/manganese oxide composite for supercapacitor (2020) | Shalini Kulandaivalu | 11 Citations</w:t>
      </w:r>
      <w:br/>
      <w:hyperlink r:id="rId7" w:history="1">
        <w:r>
          <w:rPr>
            <w:color w:val="2980b9"/>
            <w:u w:val="single"/>
          </w:rPr>
          <w:t xml:space="preserve">https://typeset.io/papers/ultrahigh-specific-energy-of-layer-by-layer-polypyrrole-4t2uqo5chn</w:t>
        </w:r>
      </w:hyperlink>
    </w:p>
    <w:p>
      <w:pPr>
        <w:pStyle w:val="Heading1"/>
      </w:pPr>
      <w:bookmarkStart w:id="2" w:name="_Toc2"/>
      <w:r>
        <w:t>Article summary:</w:t>
      </w:r>
      <w:bookmarkEnd w:id="2"/>
    </w:p>
    <w:p>
      <w:pPr>
        <w:jc w:val="both"/>
      </w:pPr>
      <w:r>
        <w:rPr/>
        <w:t xml:space="preserve">1. 制备了一种多层复合材料 PGM|PMnO2，具有出色的超级电容性能，最大比电容为755.99 F g-1，并且在5000个循环后仍保持110%的初始比电容。</w:t>
      </w:r>
    </w:p>
    <w:p>
      <w:pPr>
        <w:jc w:val="both"/>
      </w:pPr>
      <w:r>
        <w:rPr/>
        <w:t xml:space="preserve">2. PGM|PMnO2 复合材料具有高达66 Wh kg-1的特定能量和726 W kg-1的特定功率，这是由于各材料之间的协同作用所致。</w:t>
      </w:r>
    </w:p>
    <w:p>
      <w:pPr>
        <w:jc w:val="both"/>
      </w:pPr>
      <w:r>
        <w:rPr/>
        <w:t xml:space="preserve">3. PGM|PMnO2 复合材料表现出最高的电子导电性和最低的ESR值（40.01 Ω），因此是一种有前途的超级电容器电极材料。</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该文章提出了一种新型的超级电容器电极材料——多层聚吡咯/氧化石墨烯/多壁碳纳米管|聚吡咯/氧化锰复合物（PGM|PMnO2）。该复合材料具有优异的超级电容性能，最大比电容为755.99 F g−1，并且在5000个循环后仍然保持110%的初始比电容，远高于PGM（49%）和PMnO2（32%）。此外，该复合材料具有高达66 Wh kg−1的特定能量和726 W kg−1的特定功率。作者认为这是由于每种材料之间的协同作用所致。该复合材料还表现出最高的电子导电性和最低的ESR值（40.01 Ω），相比之下，PGM（47.78 Ω）和PMnO2（43.02 Ω）则较差。因此，作者认为PGM|PMnO2 LBL复合材料是一种有前途的超级电容器电极材料。</w:t>
      </w:r>
    </w:p>
    <w:p>
      <w:pPr>
        <w:jc w:val="both"/>
      </w:pPr>
      <w:r>
        <w:rPr/>
        <w:t xml:space="preserve"/>
      </w:r>
    </w:p>
    <w:p>
      <w:pPr>
        <w:jc w:val="both"/>
      </w:pPr>
      <w:r>
        <w:rPr/>
        <w:t xml:space="preserve">从文章内容来看，作者没有明显偏见或宣传内容。但是，文章存在一些缺失考虑点和未探索反驳。例如，在介绍C-TMO混合物作为超级电容器电极时，作者没有提到这些材料可能存在的环境和健康风险。此外，文章也没有探讨其他可能的电极材料，并且只关注了PGM|PMnO2 LBL复合材料。因此，该文章可能存在一定的片面报道。</w:t>
      </w:r>
    </w:p>
    <w:p>
      <w:pPr>
        <w:jc w:val="both"/>
      </w:pPr>
      <w:r>
        <w:rPr/>
        <w:t xml:space="preserve"/>
      </w:r>
    </w:p>
    <w:p>
      <w:pPr>
        <w:jc w:val="both"/>
      </w:pPr>
      <w:r>
        <w:rPr/>
        <w:t xml:space="preserve">总之，该文章提出了一种新型的超级电容器电极材料，并对其性能进行了详细介绍。虽然文章存在一些缺失考虑点和未探索反驳，但整体来看，作者并没有明显偏见或宣传内容。</w:t>
      </w:r>
    </w:p>
    <w:p>
      <w:pPr>
        <w:pStyle w:val="Heading1"/>
      </w:pPr>
      <w:bookmarkStart w:id="5" w:name="_Toc5"/>
      <w:r>
        <w:t>Topics for further research:</w:t>
      </w:r>
      <w:bookmarkEnd w:id="5"/>
    </w:p>
    <w:p>
      <w:pPr>
        <w:spacing w:after="0"/>
        <w:numPr>
          <w:ilvl w:val="0"/>
          <w:numId w:val="2"/>
        </w:numPr>
      </w:pPr>
      <w:r>
        <w:rPr/>
        <w:t xml:space="preserve">Environmental and health risks of C-TMO hybrid materials
</w:t>
      </w:r>
    </w:p>
    <w:p>
      <w:pPr>
        <w:spacing w:after="0"/>
        <w:numPr>
          <w:ilvl w:val="0"/>
          <w:numId w:val="2"/>
        </w:numPr>
      </w:pPr>
      <w:r>
        <w:rPr/>
        <w:t xml:space="preserve">Other potential electrode materials for supercapacitors
</w:t>
      </w:r>
    </w:p>
    <w:p>
      <w:pPr>
        <w:spacing w:after="0"/>
        <w:numPr>
          <w:ilvl w:val="0"/>
          <w:numId w:val="2"/>
        </w:numPr>
      </w:pPr>
      <w:r>
        <w:rPr/>
        <w:t xml:space="preserve">Limitations and challenges of PGM</w:t>
      </w:r>
    </w:p>
    <w:p>
      <w:pPr>
        <w:spacing w:after="0"/>
        <w:numPr>
          <w:ilvl w:val="0"/>
          <w:numId w:val="2"/>
        </w:numPr>
      </w:pPr>
      <w:r>
        <w:rPr/>
        <w:t xml:space="preserve">PMnO2 LBL composite materials
</w:t>
      </w:r>
    </w:p>
    <w:p>
      <w:pPr>
        <w:spacing w:after="0"/>
        <w:numPr>
          <w:ilvl w:val="0"/>
          <w:numId w:val="2"/>
        </w:numPr>
      </w:pPr>
      <w:r>
        <w:rPr/>
        <w:t xml:space="preserve">Comparison with other supercapacitor electrode materials in terms of performance and cost
</w:t>
      </w:r>
    </w:p>
    <w:p>
      <w:pPr>
        <w:spacing w:after="0"/>
        <w:numPr>
          <w:ilvl w:val="0"/>
          <w:numId w:val="2"/>
        </w:numPr>
      </w:pPr>
      <w:r>
        <w:rPr/>
        <w:t xml:space="preserve">Potential applications and commercialization prospects of PGM</w:t>
      </w:r>
    </w:p>
    <w:p>
      <w:pPr>
        <w:spacing w:after="0"/>
        <w:numPr>
          <w:ilvl w:val="0"/>
          <w:numId w:val="2"/>
        </w:numPr>
      </w:pPr>
      <w:r>
        <w:rPr/>
        <w:t xml:space="preserve">PMnO2 LBL composite materials
</w:t>
      </w:r>
    </w:p>
    <w:p>
      <w:pPr>
        <w:numPr>
          <w:ilvl w:val="0"/>
          <w:numId w:val="2"/>
        </w:numPr>
      </w:pPr>
      <w:r>
        <w:rPr/>
        <w:t xml:space="preserve">Future research directions for improving the performance and stability of supercapacitor electrodes.</w:t>
      </w:r>
    </w:p>
    <w:p>
      <w:pPr>
        <w:pStyle w:val="Heading1"/>
      </w:pPr>
      <w:bookmarkStart w:id="6" w:name="_Toc6"/>
      <w:r>
        <w:t>Report location:</w:t>
      </w:r>
      <w:bookmarkEnd w:id="6"/>
    </w:p>
    <w:p>
      <w:hyperlink r:id="rId8" w:history="1">
        <w:r>
          <w:rPr>
            <w:color w:val="2980b9"/>
            <w:u w:val="single"/>
          </w:rPr>
          <w:t xml:space="preserve">https://www.fullpicture.app/item/0dc313ef2ad39e0f7134aa91d588673c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D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ultrahigh-specific-energy-of-layer-by-layer-polypyrrole-4t2uqo5chn" TargetMode="External"/><Relationship Id="rId8" Type="http://schemas.openxmlformats.org/officeDocument/2006/relationships/hyperlink" Target="https://www.fullpicture.app/item/0dc313ef2ad39e0f7134aa91d5886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2024-02-03T04:06:38+01:00</dcterms:created>
  <dcterms:modified xsi:type="dcterms:W3CDTF">2024-02-03T04:06:38+01:00</dcterms:modified>
</cp:coreProperties>
</file>

<file path=docProps/custom.xml><?xml version="1.0" encoding="utf-8"?>
<Properties xmlns="http://schemas.openxmlformats.org/officeDocument/2006/custom-properties" xmlns:vt="http://schemas.openxmlformats.org/officeDocument/2006/docPropsVTypes"/>
</file>