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Project MUSE - The Authority of Wax: The Child Flâneur in East German Cinema</w:t>
      </w:r>
      <w:br/>
      <w:hyperlink r:id="rId7" w:history="1">
        <w:r>
          <w:rPr>
            <w:color w:val="2980b9"/>
            <w:u w:val="single"/>
          </w:rPr>
          <w:t xml:space="preserve">https://muse-jhu-edu.wwwproxy1.library.unsw.edu.au/article/793999</w:t>
        </w:r>
      </w:hyperlink>
    </w:p>
    <w:p>
      <w:pPr>
        <w:pStyle w:val="Heading1"/>
      </w:pPr>
      <w:bookmarkStart w:id="2" w:name="_Toc2"/>
      <w:r>
        <w:t>Article summary:</w:t>
      </w:r>
      <w:bookmarkEnd w:id="2"/>
    </w:p>
    <w:p>
      <w:pPr>
        <w:jc w:val="both"/>
      </w:pPr>
      <w:r>
        <w:rPr/>
        <w:t xml:space="preserve">1. East German cinema for youth featured child flâneurs as a way to introduce political messages and offer diverse readings of urban space, particularly in the highly political context of a divided Berlin.</w:t>
      </w:r>
    </w:p>
    <w:p>
      <w:pPr>
        <w:jc w:val="both"/>
      </w:pPr>
      <w:r>
        <w:rPr/>
        <w:t xml:space="preserve">2. The depiction of the child flâneur in East German cinema evolved from a figure torn between ideological frontlines to an observer of social and political failings, reflecting different political realities of the GDR.</w:t>
      </w:r>
    </w:p>
    <w:p>
      <w:pPr>
        <w:jc w:val="both"/>
      </w:pPr>
      <w:r>
        <w:rPr/>
        <w:t xml:space="preserve">3. Child flâneurs were simultaneously associated with identification with state ideology and its rejection, and their act of strolling through the city often signaled political tensions. East German film for youth was not exclusively a propaganda machine but demonstrated critical potential despite state censorship.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该文章探讨了东德电影中的儿童闲逛者形象，并将其与政治和城市空间联系起来。然而，该文章存在一些偏见和片面报道。</w:t>
      </w:r>
    </w:p>
    <w:p>
      <w:pPr>
        <w:jc w:val="both"/>
      </w:pPr>
      <w:r>
        <w:rPr/>
        <w:t xml:space="preserve"/>
      </w:r>
    </w:p>
    <w:p>
      <w:pPr>
        <w:jc w:val="both"/>
      </w:pPr>
      <w:r>
        <w:rPr/>
        <w:t xml:space="preserve">首先，作者没有考虑到东德电影制作的限制和审查制度对儿童电影的影响。虽然作者提到了国家审查制度，但他并没有深入探讨这个问题对电影内容和表现形式的影响。此外，作者也没有考虑到东德政府如何利用儿童电影来宣传其意识形态。</w:t>
      </w:r>
    </w:p>
    <w:p>
      <w:pPr>
        <w:jc w:val="both"/>
      </w:pPr>
      <w:r>
        <w:rPr/>
        <w:t xml:space="preserve"/>
      </w:r>
    </w:p>
    <w:p>
      <w:pPr>
        <w:jc w:val="both"/>
      </w:pPr>
      <w:r>
        <w:rPr/>
        <w:t xml:space="preserve">其次，作者未能提供足够的证据来支持他关于儿童闲逛者在东德电影中演变的观点。例如，在描述不同时期的电影时，作者只是简单地列举了几部代表性作品，并未详细分析它们如何反映出当时社会和政治环境的变化。</w:t>
      </w:r>
    </w:p>
    <w:p>
      <w:pPr>
        <w:jc w:val="both"/>
      </w:pPr>
      <w:r>
        <w:rPr/>
        <w:t xml:space="preserve"/>
      </w:r>
    </w:p>
    <w:p>
      <w:pPr>
        <w:jc w:val="both"/>
      </w:pPr>
      <w:r>
        <w:rPr/>
        <w:t xml:space="preserve">此外，该文章忽略了其他可能解释儿童闲逛者形象在东德电影中出现的原因。例如，这种形象可能是为了吸引年轻观众而被广泛使用，并不一定是为了传达政治信息或批判社会问题。</w:t>
      </w:r>
    </w:p>
    <w:p>
      <w:pPr>
        <w:jc w:val="both"/>
      </w:pPr>
      <w:r>
        <w:rPr/>
        <w:t xml:space="preserve"/>
      </w:r>
    </w:p>
    <w:p>
      <w:pPr>
        <w:jc w:val="both"/>
      </w:pPr>
      <w:r>
        <w:rPr/>
        <w:t xml:space="preserve">最后，该文章缺乏平衡性，并且偏袒东德政府和其所倡导的意识形态。尽管作者提到了东德电影中存在批判性元素，但他并未深入探讨这些元素如何与国家意识形态相冲突或相互作用。</w:t>
      </w:r>
    </w:p>
    <w:p>
      <w:pPr>
        <w:jc w:val="both"/>
      </w:pPr>
      <w:r>
        <w:rPr/>
        <w:t xml:space="preserve"/>
      </w:r>
    </w:p>
    <w:p>
      <w:pPr>
        <w:jc w:val="both"/>
      </w:pPr>
      <w:r>
        <w:rPr/>
        <w:t xml:space="preserve">总之，尽管该文章提供了有趣的思考角度和文化历史背景知识，但它也存在一些偏见、片面报道和缺失考虑点等问题。</w:t>
      </w:r>
    </w:p>
    <w:p>
      <w:pPr>
        <w:pStyle w:val="Heading1"/>
      </w:pPr>
      <w:bookmarkStart w:id="5" w:name="_Toc5"/>
      <w:r>
        <w:t>Topics for further research:</w:t>
      </w:r>
      <w:bookmarkEnd w:id="5"/>
    </w:p>
    <w:p>
      <w:pPr>
        <w:spacing w:after="0"/>
        <w:numPr>
          <w:ilvl w:val="0"/>
          <w:numId w:val="2"/>
        </w:numPr>
      </w:pPr>
      <w:r>
        <w:rPr/>
        <w:t xml:space="preserve">Limitations and censorship in East German film production
</w:t>
      </w:r>
    </w:p>
    <w:p>
      <w:pPr>
        <w:spacing w:after="0"/>
        <w:numPr>
          <w:ilvl w:val="0"/>
          <w:numId w:val="2"/>
        </w:numPr>
      </w:pPr>
      <w:r>
        <w:rPr/>
        <w:t xml:space="preserve">Ideological propaganda in East German children's films
</w:t>
      </w:r>
    </w:p>
    <w:p>
      <w:pPr>
        <w:spacing w:after="0"/>
        <w:numPr>
          <w:ilvl w:val="0"/>
          <w:numId w:val="2"/>
        </w:numPr>
      </w:pPr>
      <w:r>
        <w:rPr/>
        <w:t xml:space="preserve">Lack of evidence for the evolution of the wandering child image in East German cinema
</w:t>
      </w:r>
    </w:p>
    <w:p>
      <w:pPr>
        <w:spacing w:after="0"/>
        <w:numPr>
          <w:ilvl w:val="0"/>
          <w:numId w:val="2"/>
        </w:numPr>
      </w:pPr>
      <w:r>
        <w:rPr/>
        <w:t xml:space="preserve">Alternative explanations for the prevalence of the wandering child image in East German films
</w:t>
      </w:r>
    </w:p>
    <w:p>
      <w:pPr>
        <w:spacing w:after="0"/>
        <w:numPr>
          <w:ilvl w:val="0"/>
          <w:numId w:val="2"/>
        </w:numPr>
      </w:pPr>
      <w:r>
        <w:rPr/>
        <w:t xml:space="preserve">Lack of balance and bias in the article towards East German government and ideology
</w:t>
      </w:r>
    </w:p>
    <w:p>
      <w:pPr>
        <w:numPr>
          <w:ilvl w:val="0"/>
          <w:numId w:val="2"/>
        </w:numPr>
      </w:pPr>
      <w:r>
        <w:rPr/>
        <w:t xml:space="preserve">Critical elements in East German cinema and their relationship to state ideology</w:t>
      </w:r>
    </w:p>
    <w:p>
      <w:pPr>
        <w:pStyle w:val="Heading1"/>
      </w:pPr>
      <w:bookmarkStart w:id="6" w:name="_Toc6"/>
      <w:r>
        <w:t>Report location:</w:t>
      </w:r>
      <w:bookmarkEnd w:id="6"/>
    </w:p>
    <w:p>
      <w:hyperlink r:id="rId8" w:history="1">
        <w:r>
          <w:rPr>
            <w:color w:val="2980b9"/>
            <w:u w:val="single"/>
          </w:rPr>
          <w:t xml:space="preserve">https://www.fullpicture.app/item/0e28bfb2fec7fd2fa314ae3b7143741f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223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se-jhu-edu.wwwproxy1.library.unsw.edu.au/article/793999" TargetMode="External"/><Relationship Id="rId8" Type="http://schemas.openxmlformats.org/officeDocument/2006/relationships/hyperlink" Target="https://www.fullpicture.app/item/0e28bfb2fec7fd2fa314ae3b714374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2024-02-01T12:49:12+01:00</dcterms:created>
  <dcterms:modified xsi:type="dcterms:W3CDTF">2024-02-01T12:49:12+01:00</dcterms:modified>
</cp:coreProperties>
</file>

<file path=docProps/custom.xml><?xml version="1.0" encoding="utf-8"?>
<Properties xmlns="http://schemas.openxmlformats.org/officeDocument/2006/custom-properties" xmlns:vt="http://schemas.openxmlformats.org/officeDocument/2006/docPropsVTypes"/>
</file>