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Efficacy of Ultrasound-guided Radiofrequency Ablation of Parathyroid Hyperplasia: Single Session vs. Two-Session for Effect on Hypocalcemia - PMC</w:t>
      </w:r>
      <w:br/>
      <w:hyperlink r:id="rId7" w:history="1">
        <w:r>
          <w:rPr>
            <w:color w:val="2980b9"/>
            <w:u w:val="single"/>
          </w:rPr>
          <w:t xml:space="preserve">https://www.ncbi.nlm.nih.gov/pmc/articles/PMC7148367/</w:t>
        </w:r>
      </w:hyperlink>
    </w:p>
    <w:p>
      <w:pPr>
        <w:pStyle w:val="Heading1"/>
      </w:pPr>
      <w:bookmarkStart w:id="2" w:name="_Toc2"/>
      <w:r>
        <w:t>Article summary:</w:t>
      </w:r>
      <w:bookmarkEnd w:id="2"/>
    </w:p>
    <w:p>
      <w:pPr>
        <w:jc w:val="both"/>
      </w:pPr>
      <w:r>
        <w:rPr/>
        <w:t xml:space="preserve">1. 本研究评估了一次性和两次性射频消融术对继发性甲状旁腺功能亢进的安全性和有效性，并比较了两种方法对低钙血症的影响。</w:t>
      </w:r>
    </w:p>
    <w:p>
      <w:pPr>
        <w:jc w:val="both"/>
      </w:pPr>
      <w:r>
        <w:rPr/>
        <w:t xml:space="preserve">2. 研究结果显示，单次射频消融术在费用效益和住院时间方面更具优势，但两次射频消融术可以减少低钙血症的发生。</w:t>
      </w:r>
    </w:p>
    <w:p>
      <w:pPr>
        <w:jc w:val="both"/>
      </w:pPr>
      <w:r>
        <w:rPr/>
        <w:t xml:space="preserve">3. 高碱性磷酸酶水平与低钙血症有关，高碱性磷酸酶水平的患者在射频消融术后一个月内的钙水平较低。</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这篇文章是一项关于超声引导射频消融治疗甲状旁腺增生的研究。文章通过比较一次性和两次性射频消融对低钙血症的影响，评估了两种方法的安全性和有效性。</w:t>
      </w:r>
    </w:p>
    <w:p>
      <w:pPr>
        <w:jc w:val="both"/>
      </w:pPr>
      <w:r>
        <w:rPr/>
        <w:t xml:space="preserve"/>
      </w:r>
    </w:p>
    <w:p>
      <w:pPr>
        <w:jc w:val="both"/>
      </w:pPr>
      <w:r>
        <w:rPr/>
        <w:t xml:space="preserve">然而，这篇文章存在一些潜在的偏见和问题。首先，文章没有提及作者的利益冲突声明，这可能会影响他们对结果的解释和报道。其次，文章没有明确说明研究设计和方法，包括样本选择、随机分组过程以及评估指标的选择。这使得读者很难判断该研究是否具有足够的科学可靠性。</w:t>
      </w:r>
    </w:p>
    <w:p>
      <w:pPr>
        <w:jc w:val="both"/>
      </w:pPr>
      <w:r>
        <w:rPr/>
        <w:t xml:space="preserve"/>
      </w:r>
    </w:p>
    <w:p>
      <w:pPr>
        <w:jc w:val="both"/>
      </w:pPr>
      <w:r>
        <w:rPr/>
        <w:t xml:space="preserve">此外，文章只报告了部分结果，并未提供完整的数据或统计分析。例如，在讨论部分中提到了多元分析结果表明低钙血症与碱性磷酸酶(ALP)水平相关，但并未给出具体数据或进一步解释。缺乏详细数据和统计分析使得读者无法充分理解结果的可靠性和临床意义。</w:t>
      </w:r>
    </w:p>
    <w:p>
      <w:pPr>
        <w:jc w:val="both"/>
      </w:pPr>
      <w:r>
        <w:rPr/>
        <w:t xml:space="preserve"/>
      </w:r>
    </w:p>
    <w:p>
      <w:pPr>
        <w:jc w:val="both"/>
      </w:pPr>
      <w:r>
        <w:rPr/>
        <w:t xml:space="preserve">另一个问题是文章没有探讨可能存在的风险或副作用。射频消融作为一种介入治疗方法，可能会引起一些并发症，如出血、感染或甲状旁腺功能减退等。文章没有提及对这些风险进行评估或监测的措施。</w:t>
      </w:r>
    </w:p>
    <w:p>
      <w:pPr>
        <w:jc w:val="both"/>
      </w:pPr>
      <w:r>
        <w:rPr/>
        <w:t xml:space="preserve"/>
      </w:r>
    </w:p>
    <w:p>
      <w:pPr>
        <w:jc w:val="both"/>
      </w:pPr>
      <w:r>
        <w:rPr/>
        <w:t xml:space="preserve">此外，文章没有平等地呈现双方观点。它只关注了射频消融治疗的优势和效果，而忽略了其他可能的治疗选择或替代方法。这种片面报道可能导致读者对该治疗方法的认识不全面。</w:t>
      </w:r>
    </w:p>
    <w:p>
      <w:pPr>
        <w:jc w:val="both"/>
      </w:pPr>
      <w:r>
        <w:rPr/>
        <w:t xml:space="preserve"/>
      </w:r>
    </w:p>
    <w:p>
      <w:pPr>
        <w:jc w:val="both"/>
      </w:pPr>
      <w:r>
        <w:rPr/>
        <w:t xml:space="preserve">最后，文章中存在一些宣传性内容和偏袒。例如，在结论部分中强调了一次性射频消融的成本效益和住院时间缩短，但未提供充分的证据支持这一主张。这种未经证实的主张可能误导读者对该治疗方法的期望。</w:t>
      </w:r>
    </w:p>
    <w:p>
      <w:pPr>
        <w:jc w:val="both"/>
      </w:pPr>
      <w:r>
        <w:rPr/>
        <w:t xml:space="preserve"/>
      </w:r>
    </w:p>
    <w:p>
      <w:pPr>
        <w:jc w:val="both"/>
      </w:pPr>
      <w:r>
        <w:rPr/>
        <w:t xml:space="preserve">综上所述，这篇文章存在潜在的偏见和问题，包括缺乏透明度、数据不完整、风险评估不足、片面报道和宣传内容等。读者应该谨慎对待其中提出的结论，并寻找更多可靠的证据来支持决策和临床实践。</w:t>
      </w:r>
    </w:p>
    <w:p>
      <w:pPr>
        <w:pStyle w:val="Heading1"/>
      </w:pPr>
      <w:bookmarkStart w:id="5" w:name="_Toc5"/>
      <w:r>
        <w:t>Topics for further research:</w:t>
      </w:r>
      <w:bookmarkEnd w:id="5"/>
    </w:p>
    <w:p>
      <w:pPr>
        <w:spacing w:after="0"/>
        <w:numPr>
          <w:ilvl w:val="0"/>
          <w:numId w:val="2"/>
        </w:numPr>
      </w:pPr>
      <w:r>
        <w:rPr/>
        <w:t xml:space="preserve">超声引导射频消融治疗甲状旁腺增生的安全性和有效性
</w:t>
      </w:r>
    </w:p>
    <w:p>
      <w:pPr>
        <w:spacing w:after="0"/>
        <w:numPr>
          <w:ilvl w:val="0"/>
          <w:numId w:val="2"/>
        </w:numPr>
      </w:pPr>
      <w:r>
        <w:rPr/>
        <w:t xml:space="preserve">一次性和两次性射频消融对低钙血症的影响
</w:t>
      </w:r>
    </w:p>
    <w:p>
      <w:pPr>
        <w:spacing w:after="0"/>
        <w:numPr>
          <w:ilvl w:val="0"/>
          <w:numId w:val="2"/>
        </w:numPr>
      </w:pPr>
      <w:r>
        <w:rPr/>
        <w:t xml:space="preserve">研究设计和方法，包括样本选择、随机分组过程和评估指标的选择
</w:t>
      </w:r>
    </w:p>
    <w:p>
      <w:pPr>
        <w:spacing w:after="0"/>
        <w:numPr>
          <w:ilvl w:val="0"/>
          <w:numId w:val="2"/>
        </w:numPr>
      </w:pPr>
      <w:r>
        <w:rPr/>
        <w:t xml:space="preserve">多元分析结果表明低钙血症与碱性磷酸酶(ALP)水平相关
</w:t>
      </w:r>
    </w:p>
    <w:p>
      <w:pPr>
        <w:spacing w:after="0"/>
        <w:numPr>
          <w:ilvl w:val="0"/>
          <w:numId w:val="2"/>
        </w:numPr>
      </w:pPr>
      <w:r>
        <w:rPr/>
        <w:t xml:space="preserve">射频消融可能存在的风险和副作用
</w:t>
      </w:r>
    </w:p>
    <w:p>
      <w:pPr>
        <w:numPr>
          <w:ilvl w:val="0"/>
          <w:numId w:val="2"/>
        </w:numPr>
      </w:pPr>
      <w:r>
        <w:rPr/>
        <w:t xml:space="preserve">射频消融治疗的优势和效果，以及其他可能的治疗选择或替代方法</w:t>
      </w:r>
    </w:p>
    <w:p>
      <w:pPr>
        <w:pStyle w:val="Heading1"/>
      </w:pPr>
      <w:bookmarkStart w:id="6" w:name="_Toc6"/>
      <w:r>
        <w:t>Report location:</w:t>
      </w:r>
      <w:bookmarkEnd w:id="6"/>
    </w:p>
    <w:p>
      <w:hyperlink r:id="rId8" w:history="1">
        <w:r>
          <w:rPr>
            <w:color w:val="2980b9"/>
            <w:u w:val="single"/>
          </w:rPr>
          <w:t xml:space="preserve">https://www.fullpicture.app/item/0e693d6b816fa06a127a9f8bb02f3374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375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148367/" TargetMode="External"/><Relationship Id="rId8" Type="http://schemas.openxmlformats.org/officeDocument/2006/relationships/hyperlink" Target="https://www.fullpicture.app/item/0e693d6b816fa06a127a9f8bb02f33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2024-04-21T02:42:27+02:00</dcterms:created>
  <dcterms:modified xsi:type="dcterms:W3CDTF">2024-04-21T02:42:27+02:00</dcterms:modified>
</cp:coreProperties>
</file>

<file path=docProps/custom.xml><?xml version="1.0" encoding="utf-8"?>
<Properties xmlns="http://schemas.openxmlformats.org/officeDocument/2006/custom-properties" xmlns:vt="http://schemas.openxmlformats.org/officeDocument/2006/docPropsVTypes"/>
</file>