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A2AR limits IL-15-induced generation of CD39+ NK cells with high cytotoxicity - PubMed</w:t>
      </w:r>
      <w:br/>
      <w:hyperlink r:id="rId7" w:history="1">
        <w:r>
          <w:rPr>
            <w:color w:val="2980b9"/>
            <w:u w:val="single"/>
          </w:rPr>
          <w:t xml:space="preserve">https://pubmed.ncbi.nlm.nih.gov/36529024/</w:t>
        </w:r>
      </w:hyperlink>
    </w:p>
    <w:p>
      <w:pPr>
        <w:pStyle w:val="Heading1"/>
      </w:pPr>
      <w:bookmarkStart w:id="2" w:name="_Toc2"/>
      <w:r>
        <w:t>Article summary:</w:t>
      </w:r>
      <w:bookmarkEnd w:id="2"/>
    </w:p>
    <w:p>
      <w:pPr>
        <w:jc w:val="both"/>
      </w:pPr>
      <w:r>
        <w:rPr/>
        <w:t xml:space="preserve">1. CD39+ NK cells have a higher proportion of CD107a expression compared to CD39- NK cells in healthy donors and patients with hepatitis B virus or hepatocellular carcinoma.</w:t>
      </w:r>
    </w:p>
    <w:p>
      <w:pPr>
        <w:jc w:val="both"/>
      </w:pPr>
      <w:r>
        <w:rPr/>
        <w:t xml:space="preserve">2. Stimulation with NK-sensitive K562 cells or interleukin (IL)-12/IL-18 activated CD39+ NK cells to express higher levels of CD107a, IFN-γ and TNF-α, relative to CD39- NK cells.</w:t>
      </w:r>
    </w:p>
    <w:p>
      <w:pPr>
        <w:jc w:val="both"/>
      </w:pPr>
      <w:r>
        <w:rPr/>
        <w:t xml:space="preserve">3. A2A adenosine receptor (A2AR) ligation suppressed the generation of CD39+ NK cells by inhibiting IL-15 signaling.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The authors provide detailed information on the methods used in their experiments, which allows readers to assess the validity of their results. Furthermore, the authors provide a comprehensive discussion on the implications of their findings, which helps readers understand how their results can be applied in clinical settings. </w:t>
      </w:r>
    </w:p>
    <w:p>
      <w:pPr>
        <w:jc w:val="both"/>
      </w:pPr>
      <w:r>
        <w:rPr/>
        <w:t xml:space="preserve">However, there are some potential biases that should be noted. For example, the authors do not explore any counterarguments or alternative explanations for their findings, which could lead to an incomplete understanding of the topic at hand. Additionally, the authors do not discuss any possible risks associated with their findings or any potential limitations that could affect their conclusions. Finally, while the authors present both sides of the argument equally in terms of evidence provided, they do not provide equal weighting to both sides when discussing implications for clinical applications; this could lead to a one-sided view of the topic being presented.</w:t>
      </w:r>
    </w:p>
    <w:p>
      <w:pPr>
        <w:pStyle w:val="Heading1"/>
      </w:pPr>
      <w:bookmarkStart w:id="5" w:name="_Toc5"/>
      <w:r>
        <w:t>Topics for further research:</w:t>
      </w:r>
      <w:bookmarkEnd w:id="5"/>
    </w:p>
    <w:p>
      <w:pPr>
        <w:spacing w:after="0"/>
        <w:numPr>
          <w:ilvl w:val="0"/>
          <w:numId w:val="2"/>
        </w:numPr>
      </w:pPr>
      <w:r>
        <w:rPr/>
        <w:t xml:space="preserve">Clinical implications of experimental findings </w:t>
      </w:r>
    </w:p>
    <w:p>
      <w:pPr>
        <w:spacing w:after="0"/>
        <w:numPr>
          <w:ilvl w:val="0"/>
          <w:numId w:val="2"/>
        </w:numPr>
      </w:pPr>
      <w:r>
        <w:rPr/>
        <w:t xml:space="preserve">Counterarguments to experimental findings </w:t>
      </w:r>
    </w:p>
    <w:p>
      <w:pPr>
        <w:spacing w:after="0"/>
        <w:numPr>
          <w:ilvl w:val="0"/>
          <w:numId w:val="2"/>
        </w:numPr>
      </w:pPr>
      <w:r>
        <w:rPr/>
        <w:t xml:space="preserve">Potential risks associated with experimental findings </w:t>
      </w:r>
    </w:p>
    <w:p>
      <w:pPr>
        <w:spacing w:after="0"/>
        <w:numPr>
          <w:ilvl w:val="0"/>
          <w:numId w:val="2"/>
        </w:numPr>
      </w:pPr>
      <w:r>
        <w:rPr/>
        <w:t xml:space="preserve">Limitations of experimental findings </w:t>
      </w:r>
    </w:p>
    <w:p>
      <w:pPr>
        <w:spacing w:after="0"/>
        <w:numPr>
          <w:ilvl w:val="0"/>
          <w:numId w:val="2"/>
        </w:numPr>
      </w:pPr>
      <w:r>
        <w:rPr/>
        <w:t xml:space="preserve">Equal weighting of evidence in clinical applications </w:t>
      </w:r>
    </w:p>
    <w:p>
      <w:pPr>
        <w:numPr>
          <w:ilvl w:val="0"/>
          <w:numId w:val="2"/>
        </w:numPr>
      </w:pPr>
      <w:r>
        <w:rPr/>
        <w:t xml:space="preserve">Alternative explanations for experimental findings</w:t>
      </w:r>
    </w:p>
    <w:p>
      <w:pPr>
        <w:pStyle w:val="Heading1"/>
      </w:pPr>
      <w:bookmarkStart w:id="6" w:name="_Toc6"/>
      <w:r>
        <w:t>Report location:</w:t>
      </w:r>
      <w:bookmarkEnd w:id="6"/>
    </w:p>
    <w:p>
      <w:hyperlink r:id="rId8" w:history="1">
        <w:r>
          <w:rPr>
            <w:color w:val="2980b9"/>
            <w:u w:val="single"/>
          </w:rPr>
          <w:t xml:space="preserve">https://www.fullpicture.app/item/0ea30ab8c4f42a63b8c21dcc059261d5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F1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29024/" TargetMode="External"/><Relationship Id="rId8" Type="http://schemas.openxmlformats.org/officeDocument/2006/relationships/hyperlink" Target="https://www.fullpicture.app/item/0ea30ab8c4f42a63b8c21dcc059261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2023-02-23T03:36:45+01:00</dcterms:created>
  <dcterms:modified xsi:type="dcterms:W3CDTF">2023-02-23T03:36:45+01:00</dcterms:modified>
</cp:coreProperties>
</file>

<file path=docProps/custom.xml><?xml version="1.0" encoding="utf-8"?>
<Properties xmlns="http://schemas.openxmlformats.org/officeDocument/2006/custom-properties" xmlns:vt="http://schemas.openxmlformats.org/officeDocument/2006/docPropsVTypes"/>
</file>