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ACC/AHA/HRS Versus ESC Guidelines for the Diagnosis and Management of Syncope: JACC Guideline Comparison - ScienceDirect</w:t>
      </w:r>
      <w:br/>
      <w:hyperlink r:id="rId7" w:history="1">
        <w:r>
          <w:rPr>
            <w:color w:val="2980b9"/>
            <w:u w:val="single"/>
          </w:rPr>
          <w:t xml:space="preserve">https://www.sciencedirect.com/science/article/pii/S0735109719376454?via%3Dihub=</w:t>
        </w:r>
      </w:hyperlink>
    </w:p>
    <w:p>
      <w:pPr>
        <w:pStyle w:val="Heading1"/>
      </w:pPr>
      <w:bookmarkStart w:id="2" w:name="_Toc2"/>
      <w:r>
        <w:t>Article summary:</w:t>
      </w:r>
      <w:bookmarkEnd w:id="2"/>
    </w:p>
    <w:p>
      <w:pPr>
        <w:jc w:val="both"/>
      </w:pPr>
      <w:r>
        <w:rPr/>
        <w:t xml:space="preserve">1. Syncope is a common and challenging problem in medical practice, with variable presentations and elusive causal mechanisms.</w:t>
      </w:r>
    </w:p>
    <w:p>
      <w:pPr>
        <w:jc w:val="both"/>
      </w:pPr>
      <w:r>
        <w:rPr/>
        <w:t xml:space="preserve">2. The ACC/AHA/HRS and ESC guidelines for the diagnosis and management of syncope have both similarities and differences, particularly in recommendations for patients with conduction disease, reflex syncope, and orthostatic hypotension.</w:t>
      </w:r>
    </w:p>
    <w:p>
      <w:pPr>
        <w:jc w:val="both"/>
      </w:pPr>
      <w:r>
        <w:rPr/>
        <w:t xml:space="preserve">3. Further research is needed to strengthen recommendations that currently have minimal evidence and to address areas of discrepancy between the guidelines.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"ACC/AHA/HRS Versus ESC Guidelines for the Diagnosis and Management of Syncope: JACC Guideline Comparison" provides a comparison between the syncope guidelines published by the American College of Cardiology/American Heart Association/Heart Rhythm Society (ACC/AHA/HRS) in 2017 and the European Society of Cardiology (ESC) in 2018. The purpose of the review is to highlight both similarities and differences between these guidelines, as well as identify areas where further research is needed.</w:t>
      </w:r>
    </w:p>
    <w:p>
      <w:pPr>
        <w:jc w:val="both"/>
      </w:pPr>
      <w:r>
        <w:rPr/>
        <w:t xml:space="preserve"/>
      </w:r>
    </w:p>
    <w:p>
      <w:pPr>
        <w:jc w:val="both"/>
      </w:pPr>
      <w:r>
        <w:rPr/>
        <w:t xml:space="preserve">One potential bias in this article is that it primarily focuses on the differences between the two sets of guidelines rather than highlighting their similarities. While it is important to recognize discrepancies, it would also be valuable to emphasize areas where there is agreement or consensus. This one-sided reporting may lead readers to believe that there are significant disagreements between the guidelines when, in fact, they share many common recommendations.</w:t>
      </w:r>
    </w:p>
    <w:p>
      <w:pPr>
        <w:jc w:val="both"/>
      </w:pPr>
      <w:r>
        <w:rPr/>
        <w:t xml:space="preserve"/>
      </w:r>
    </w:p>
    <w:p>
      <w:pPr>
        <w:jc w:val="both"/>
      </w:pPr>
      <w:r>
        <w:rPr/>
        <w:t xml:space="preserve">Additionally, the article mentions that randomized trials and further translational investigations are needed to strengthen recommendations that are currently supported only with minimal evidence. However, it does not provide specific examples or evidence to support this claim. Without further information, it is difficult to assess the validity of this statement.</w:t>
      </w:r>
    </w:p>
    <w:p>
      <w:pPr>
        <w:jc w:val="both"/>
      </w:pPr>
      <w:r>
        <w:rPr/>
        <w:t xml:space="preserve"/>
      </w:r>
    </w:p>
    <w:p>
      <w:pPr>
        <w:jc w:val="both"/>
      </w:pPr>
      <w:r>
        <w:rPr/>
        <w:t xml:space="preserve">Furthermore, the article does not explore potential counterarguments or alternative perspectives on the management of syncope. It presents the guidelines as definitive sources without acknowledging any potential limitations or controversies surrounding their recommendations. This lack of critical analysis may limit readers' understanding of the complexities and uncertainties involved in diagnosing and managing syncope.</w:t>
      </w:r>
    </w:p>
    <w:p>
      <w:pPr>
        <w:jc w:val="both"/>
      </w:pPr>
      <w:r>
        <w:rPr/>
        <w:t xml:space="preserve"/>
      </w:r>
    </w:p>
    <w:p>
      <w:pPr>
        <w:jc w:val="both"/>
      </w:pPr>
      <w:r>
        <w:rPr/>
        <w:t xml:space="preserve">The article also includes a central illustration depicting the evolution of syncope guidelines over time. While this visual representation may be informative, it could be seen as promotional content for these guidelines rather than an objective analysis.</w:t>
      </w:r>
    </w:p>
    <w:p>
      <w:pPr>
        <w:jc w:val="both"/>
      </w:pPr>
      <w:r>
        <w:rPr/>
        <w:t xml:space="preserve"/>
      </w:r>
    </w:p>
    <w:p>
      <w:pPr>
        <w:jc w:val="both"/>
      </w:pPr>
      <w:r>
        <w:rPr/>
        <w:t xml:space="preserve">Overall, this article provides a useful comparison between syncope guidelines but falls short in providing a balanced analysis by focusing primarily on differences rather than similarities. It lacks critical evaluation of the evidence supporting these guidelines and does not explore alternative perspectives or potential limitations.</w:t>
      </w:r>
    </w:p>
    <w:p>
      <w:pPr>
        <w:pStyle w:val="Heading1"/>
      </w:pPr>
      <w:bookmarkStart w:id="5" w:name="_Toc5"/>
      <w:r>
        <w:t>Topics for further research:</w:t>
      </w:r>
      <w:bookmarkEnd w:id="5"/>
    </w:p>
    <w:p>
      <w:pPr>
        <w:spacing w:after="0"/>
        <w:numPr>
          <w:ilvl w:val="0"/>
          <w:numId w:val="2"/>
        </w:numPr>
      </w:pPr>
      <w:r>
        <w:rPr/>
        <w:t xml:space="preserve">Similarities between ACC/AHA/HRS and ESC syncope guidelines
</w:t>
      </w:r>
    </w:p>
    <w:p>
      <w:pPr>
        <w:spacing w:after="0"/>
        <w:numPr>
          <w:ilvl w:val="0"/>
          <w:numId w:val="2"/>
        </w:numPr>
      </w:pPr>
      <w:r>
        <w:rPr/>
        <w:t xml:space="preserve">Consensus recommendations in ACC/AHA/HRS and ESC syncope guidelines
</w:t>
      </w:r>
    </w:p>
    <w:p>
      <w:pPr>
        <w:spacing w:after="0"/>
        <w:numPr>
          <w:ilvl w:val="0"/>
          <w:numId w:val="2"/>
        </w:numPr>
      </w:pPr>
      <w:r>
        <w:rPr/>
        <w:t xml:space="preserve">Evidence supporting ACC/AHA/HRS and ESC syncope guidelines
</w:t>
      </w:r>
    </w:p>
    <w:p>
      <w:pPr>
        <w:spacing w:after="0"/>
        <w:numPr>
          <w:ilvl w:val="0"/>
          <w:numId w:val="2"/>
        </w:numPr>
      </w:pPr>
      <w:r>
        <w:rPr/>
        <w:t xml:space="preserve">Controversies in syncope management
</w:t>
      </w:r>
    </w:p>
    <w:p>
      <w:pPr>
        <w:spacing w:after="0"/>
        <w:numPr>
          <w:ilvl w:val="0"/>
          <w:numId w:val="2"/>
        </w:numPr>
      </w:pPr>
      <w:r>
        <w:rPr/>
        <w:t xml:space="preserve">Limitations of ACC/AHA/HRS and ESC syncope guidelines
</w:t>
      </w:r>
    </w:p>
    <w:p>
      <w:pPr>
        <w:numPr>
          <w:ilvl w:val="0"/>
          <w:numId w:val="2"/>
        </w:numPr>
      </w:pPr>
      <w:r>
        <w:rPr/>
        <w:t xml:space="preserve">Alternative perspectives on diagnosing and managing syncope</w:t>
      </w:r>
    </w:p>
    <w:p>
      <w:pPr>
        <w:pStyle w:val="Heading1"/>
      </w:pPr>
      <w:bookmarkStart w:id="6" w:name="_Toc6"/>
      <w:r>
        <w:t>Report location:</w:t>
      </w:r>
      <w:bookmarkEnd w:id="6"/>
    </w:p>
    <w:p>
      <w:hyperlink r:id="rId8" w:history="1">
        <w:r>
          <w:rPr>
            <w:color w:val="2980b9"/>
            <w:u w:val="single"/>
          </w:rPr>
          <w:t xml:space="preserve">https://www.fullpicture.app/item/0ecf9b2620f610cd4c1d3d1c0eabc65b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FE0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35109719376454?via%3Dihub=" TargetMode="External"/><Relationship Id="rId8" Type="http://schemas.openxmlformats.org/officeDocument/2006/relationships/hyperlink" Target="https://www.fullpicture.app/item/0ecf9b2620f610cd4c1d3d1c0eabc6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2023-06-29T14:26:29+02:00</dcterms:created>
  <dcterms:modified xsi:type="dcterms:W3CDTF">2023-06-29T14:26:29+02:00</dcterms:modified>
</cp:coreProperties>
</file>

<file path=docProps/custom.xml><?xml version="1.0" encoding="utf-8"?>
<Properties xmlns="http://schemas.openxmlformats.org/officeDocument/2006/custom-properties" xmlns:vt="http://schemas.openxmlformats.org/officeDocument/2006/docPropsVTypes"/>
</file>