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Data Visceralization: Enabling Deeper Understanding of Data Using Virtual Reality | Semantic Scholar</w:t>
      </w:r>
      <w:br/>
      <w:hyperlink r:id="rId7" w:history="1">
        <w:r>
          <w:rPr>
            <w:color w:val="2980b9"/>
            <w:u w:val="single"/>
          </w:rPr>
          <w:t xml:space="preserve">https://www.semanticscholar.org/paper/Data-Visceralization%3A-Enabling-Deeper-Understanding-Lee-Brown/3dd9bc052e56712742c08cb8aa4f2e417a09c67b</w:t>
        </w:r>
      </w:hyperlink>
    </w:p>
    <w:p>
      <w:pPr>
        <w:pStyle w:val="Heading1"/>
      </w:pPr>
      <w:bookmarkStart w:id="2" w:name="_Toc2"/>
      <w:r>
        <w:t>Article summary:</w:t>
      </w:r>
      <w:bookmarkEnd w:id="2"/>
    </w:p>
    <w:p>
      <w:pPr>
        <w:jc w:val="both"/>
      </w:pPr>
      <w:r>
        <w:rPr/>
        <w:t xml:space="preserve">1. Virtual Reality (VR), Augmented Reality (AR) and Mixed Reality (MR) visualization techniques are better for understanding big data with 3D visualization and real-time interaction.</w:t>
      </w:r>
    </w:p>
    <w:p>
      <w:pPr>
        <w:jc w:val="both"/>
      </w:pPr>
      <w:r>
        <w:rPr/>
        <w:t xml:space="preserve">2. A diverse group of 24 international experts have identified 17 key research challenges to facilitate productive and effective applications for Immersive Analytics.</w:t>
      </w:r>
    </w:p>
    <w:p>
      <w:pPr>
        <w:jc w:val="both"/>
      </w:pPr>
      <w:r>
        <w:rPr/>
        <w:t xml:space="preserve">3. Mixed reality has a novel human-computer interaction mode, expanding the design space of visualization and interactive interface, with broad application prospects.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such as the 9th International Conference System Modeling and Advancement in Research Trends (SMART), a virtual scientific workshop at ACM CHI 2020, and the Journal of Computer-Aided Design &amp; Computer Graphics. The article does not appear to be biased or one-sided, as it presents both sides of the argument equally. It also does not contain any promotional content or partiality towards any particular point of view. The article does not appear to be missing any points of consideration or evidence for its claims, nor does it contain any unexplored counterarguments or missing evidence for its claims made. Furthermore, possible risks are noted throughout the article,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Computer-Aided Design &amp; Computer Graphics</w:t>
      </w:r>
    </w:p>
    <w:p>
      <w:pPr>
        <w:spacing w:after="0"/>
        <w:numPr>
          <w:ilvl w:val="0"/>
          <w:numId w:val="2"/>
        </w:numPr>
      </w:pPr>
      <w:r>
        <w:rPr/>
        <w:t xml:space="preserve">3D Printing Technology</w:t>
      </w:r>
    </w:p>
    <w:p>
      <w:pPr>
        <w:spacing w:after="0"/>
        <w:numPr>
          <w:ilvl w:val="0"/>
          <w:numId w:val="2"/>
        </w:numPr>
      </w:pPr>
      <w:r>
        <w:rPr/>
        <w:t xml:space="preserve">3D Printing Applications</w:t>
      </w:r>
    </w:p>
    <w:p>
      <w:pPr>
        <w:spacing w:after="0"/>
        <w:numPr>
          <w:ilvl w:val="0"/>
          <w:numId w:val="2"/>
        </w:numPr>
      </w:pPr>
      <w:r>
        <w:rPr/>
        <w:t xml:space="preserve">3D Printing Risks</w:t>
      </w:r>
    </w:p>
    <w:p>
      <w:pPr>
        <w:spacing w:after="0"/>
        <w:numPr>
          <w:ilvl w:val="0"/>
          <w:numId w:val="2"/>
        </w:numPr>
      </w:pPr>
      <w:r>
        <w:rPr/>
        <w:t xml:space="preserve">3D Printing Regulations</w:t>
      </w:r>
    </w:p>
    <w:p>
      <w:pPr>
        <w:numPr>
          <w:ilvl w:val="0"/>
          <w:numId w:val="2"/>
        </w:numPr>
      </w:pPr>
      <w:r>
        <w:rPr/>
        <w:t xml:space="preserve">3D Printing Safety Standards</w:t>
      </w:r>
    </w:p>
    <w:p>
      <w:pPr>
        <w:pStyle w:val="Heading1"/>
      </w:pPr>
      <w:bookmarkStart w:id="6" w:name="_Toc6"/>
      <w:r>
        <w:t>Report location:</w:t>
      </w:r>
      <w:bookmarkEnd w:id="6"/>
    </w:p>
    <w:p>
      <w:hyperlink r:id="rId8" w:history="1">
        <w:r>
          <w:rPr>
            <w:color w:val="2980b9"/>
            <w:u w:val="single"/>
          </w:rPr>
          <w:t xml:space="preserve">https://www.fullpicture.app/item/102c358e07ee55632bb60830bdb492df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E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Data-Visceralization%3A-Enabling-Deeper-Understanding-Lee-Brown/3dd9bc052e56712742c08cb8aa4f2e417a09c67b" TargetMode="External"/><Relationship Id="rId8" Type="http://schemas.openxmlformats.org/officeDocument/2006/relationships/hyperlink" Target="https://www.fullpicture.app/item/102c358e07ee55632bb60830bdb49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2023-02-22T22:55:24+01:00</dcterms:created>
  <dcterms:modified xsi:type="dcterms:W3CDTF">2023-02-22T22:55:24+01:00</dcterms:modified>
</cp:coreProperties>
</file>

<file path=docProps/custom.xml><?xml version="1.0" encoding="utf-8"?>
<Properties xmlns="http://schemas.openxmlformats.org/officeDocument/2006/custom-properties" xmlns:vt="http://schemas.openxmlformats.org/officeDocument/2006/docPropsVTypes"/>
</file>