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Nonspecific Binding-Fundamental Concepts and Consequences for Biosensing Applications - PubMed</w:t>
      </w:r>
      <w:br/>
      <w:hyperlink r:id="rId7" w:history="1">
        <w:r>
          <w:rPr>
            <w:color w:val="2980b9"/>
            <w:u w:val="single"/>
          </w:rPr>
          <w:t xml:space="preserve">https://pubmed.ncbi.nlm.nih.gov/34105942/</w:t>
        </w:r>
      </w:hyperlink>
    </w:p>
    <w:p>
      <w:pPr>
        <w:pStyle w:val="Heading1"/>
      </w:pPr>
      <w:bookmarkStart w:id="2" w:name="_Toc2"/>
      <w:r>
        <w:t>Article summary:</w:t>
      </w:r>
      <w:bookmarkEnd w:id="2"/>
    </w:p>
    <w:p>
      <w:pPr>
        <w:jc w:val="both"/>
      </w:pPr>
      <w:r>
        <w:rPr/>
        <w:t xml:space="preserve">1. This review discusses the evolution of the concept of nonspecific binding over the past five decades based upon thermodynamic, intermolecular, and structural perspectives.</w:t>
      </w:r>
    </w:p>
    <w:p>
      <w:pPr>
        <w:jc w:val="both"/>
      </w:pPr>
      <w:r>
        <w:rPr/>
        <w:t xml:space="preserve">2. It introduces various theoretical models to predict the expected behavior of biosensors in physiologically relevant environments and calculate their theoretical detection limit.</w:t>
      </w:r>
    </w:p>
    <w:p>
      <w:pPr>
        <w:jc w:val="both"/>
      </w:pPr>
      <w:r>
        <w:rPr/>
        <w:t xml:space="preserve">3. The review also discusses existing practical approaches to tackle the nonspecific binding challenge in vitro for biosensing platforms and how they can be used to address and harness nonspecific interactions for in vivo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is a comprehensive review of the concept of nonspecific binding, its evolution over time, and its implications for biosensing applications. The authors provide an overview of the thermodynamic, intermolecular, and structural perspectives on this phenomenon as well as various theoretical models that can be used to predict sensor performance. They also discuss existing practical approaches to tackle the challenge of nonspecific binding in vitro and how it can be addressed or harnessed for in vivo systems. </w:t>
      </w:r>
    </w:p>
    <w:p>
      <w:pPr>
        <w:jc w:val="both"/>
      </w:pPr>
      <w:r>
        <w:rPr/>
        <w:t xml:space="preserve">The article is written by experts in the field who have conducted extensive research on this topic, making it a reliable source of information on this subject matter. The authors provide detailed explanations of their theories and models as well as references to other studies that support their claims. Furthermore, they present both sides of the argument equally without any bias or promotional content. As such, this article is trustworthy and reliable with regards to its content on nonspecific binding-related topics.</w:t>
      </w:r>
    </w:p>
    <w:p>
      <w:pPr>
        <w:pStyle w:val="Heading1"/>
      </w:pPr>
      <w:bookmarkStart w:id="5" w:name="_Toc5"/>
      <w:r>
        <w:t>Topics for further research:</w:t>
      </w:r>
      <w:bookmarkEnd w:id="5"/>
    </w:p>
    <w:p>
      <w:pPr>
        <w:spacing w:after="0"/>
        <w:numPr>
          <w:ilvl w:val="0"/>
          <w:numId w:val="2"/>
        </w:numPr>
      </w:pPr>
      <w:r>
        <w:rPr/>
        <w:t xml:space="preserve">Nonspecific binding mechanisms</w:t>
      </w:r>
    </w:p>
    <w:p>
      <w:pPr>
        <w:spacing w:after="0"/>
        <w:numPr>
          <w:ilvl w:val="0"/>
          <w:numId w:val="2"/>
        </w:numPr>
      </w:pPr>
      <w:r>
        <w:rPr/>
        <w:t xml:space="preserve">Nonspecific binding inhibition</w:t>
      </w:r>
    </w:p>
    <w:p>
      <w:pPr>
        <w:spacing w:after="0"/>
        <w:numPr>
          <w:ilvl w:val="0"/>
          <w:numId w:val="2"/>
        </w:numPr>
      </w:pPr>
      <w:r>
        <w:rPr/>
        <w:t xml:space="preserve">Nonspecific binding affinity</w:t>
      </w:r>
    </w:p>
    <w:p>
      <w:pPr>
        <w:spacing w:after="0"/>
        <w:numPr>
          <w:ilvl w:val="0"/>
          <w:numId w:val="2"/>
        </w:numPr>
      </w:pPr>
      <w:r>
        <w:rPr/>
        <w:t xml:space="preserve">Nonspecific binding detection</w:t>
      </w:r>
    </w:p>
    <w:p>
      <w:pPr>
        <w:spacing w:after="0"/>
        <w:numPr>
          <w:ilvl w:val="0"/>
          <w:numId w:val="2"/>
        </w:numPr>
      </w:pPr>
      <w:r>
        <w:rPr/>
        <w:t xml:space="preserve">Nonspecific binding in vivo</w:t>
      </w:r>
    </w:p>
    <w:p>
      <w:pPr>
        <w:numPr>
          <w:ilvl w:val="0"/>
          <w:numId w:val="2"/>
        </w:numPr>
      </w:pPr>
      <w:r>
        <w:rPr/>
        <w:t xml:space="preserve">Nonspecific binding sensors</w:t>
      </w:r>
    </w:p>
    <w:p>
      <w:pPr>
        <w:pStyle w:val="Heading1"/>
      </w:pPr>
      <w:bookmarkStart w:id="6" w:name="_Toc6"/>
      <w:r>
        <w:t>Report location:</w:t>
      </w:r>
      <w:bookmarkEnd w:id="6"/>
    </w:p>
    <w:p>
      <w:hyperlink r:id="rId8" w:history="1">
        <w:r>
          <w:rPr>
            <w:color w:val="2980b9"/>
            <w:u w:val="single"/>
          </w:rPr>
          <w:t xml:space="preserve">https://www.fullpicture.app/item/10d731e3b0b90d1414fe9bbba6bcffd7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3830D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pubmed.ncbi.nlm.nih.gov/34105942/" TargetMode="External"/><Relationship Id="rId8" Type="http://schemas.openxmlformats.org/officeDocument/2006/relationships/hyperlink" Target="https://www.fullpicture.app/item/10d731e3b0b90d1414fe9bbba6bcffd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2023-02-24T07:23:27+01:00</dcterms:created>
  <dcterms:modified xsi:type="dcterms:W3CDTF">2023-02-24T07:23:27+01:00</dcterms:modified>
</cp:coreProperties>
</file>

<file path=docProps/custom.xml><?xml version="1.0" encoding="utf-8"?>
<Properties xmlns="http://schemas.openxmlformats.org/officeDocument/2006/custom-properties" xmlns:vt="http://schemas.openxmlformats.org/officeDocument/2006/docPropsVTypes"/>
</file>