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Senolytics reduce coronavirus-related mortality in old mice | Science</w:t>
      </w:r>
      <w:br/>
      <w:hyperlink r:id="rId7" w:history="1">
        <w:r>
          <w:rPr>
            <w:color w:val="2980b9"/>
            <w:u w:val="single"/>
          </w:rPr>
          <w:t xml:space="preserve">https://www.science.org/doi/10.1126/science.abe4832</w:t>
        </w:r>
      </w:hyperlink>
    </w:p>
    <w:p>
      <w:pPr>
        <w:pStyle w:val="Heading1"/>
      </w:pPr>
      <w:bookmarkStart w:id="2" w:name="_Toc2"/>
      <w:r>
        <w:t>Article summary:</w:t>
      </w:r>
      <w:bookmarkEnd w:id="2"/>
    </w:p>
    <w:p>
      <w:pPr>
        <w:jc w:val="both"/>
      </w:pPr>
      <w:r>
        <w:rPr/>
        <w:t xml:space="preserve">1. Senescent cells (SnCs) accumulate with age and can drive chronic inflammation, making the elderly more vulnerable to severe acute respiratory syndrome coronavirus 2 (SARS-CoV-2).</w:t>
      </w:r>
    </w:p>
    <w:p>
      <w:pPr>
        <w:jc w:val="both"/>
      </w:pPr>
      <w:r>
        <w:rPr/>
        <w:t xml:space="preserve">2. Treatment with senolytics, drugs that selectively eliminate SnCs, reduced mortality and increased antiviral antibodies in old mice infected with a SARS-CoV-2–related virus.</w:t>
      </w:r>
    </w:p>
    <w:p>
      <w:pPr>
        <w:jc w:val="both"/>
      </w:pPr>
      <w:r>
        <w:rPr/>
        <w:t xml:space="preserve">3. Reducing SnC burden in aged individuals should enhance resilience and reduce mortality after viral infection, including that of SARS-CoV-2.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“Senolytics reduce coronavirus-related mortality in old mice” is a well written and comprehensive piece of research that provides evidence for the potential benefits of senolytic drugs in reducing mortality from SARS-CoV-2 infections in elderly individuals. The authors provide a thorough overview of the role of senescent cells in driving chronic inflammation and their potential contribution to adverse outcomes from viral infections such as SARS-CoV-2. They also present evidence from both human cell cultures and mouse models to support their hypothesis that targeting senescent cells could reduce mortality from viral infections.</w:t>
      </w:r>
    </w:p>
    <w:p>
      <w:pPr>
        <w:jc w:val="both"/>
      </w:pPr>
      <w:r>
        <w:rPr/>
        <w:t xml:space="preserve">The article is generally reliable and trustworthy, as it presents evidence from multiple sources to support its claims. The authors provide detailed descriptions of their experiments, which allows readers to evaluate the validity of their results. Furthermore, they acknowledge potential limitations of their study such as the use of mouse models instead of humans, which may not accurately reflect the effects seen in humans due to differences between species.</w:t>
      </w:r>
    </w:p>
    <w:p>
      <w:pPr>
        <w:jc w:val="both"/>
      </w:pPr>
      <w:r>
        <w:rPr/>
        <w:t xml:space="preserve">However, there are some points that could be improved upon or explored further by the authors. For example, while they discuss potential risks associated with senolytic drugs such as side effects or toxicity, they do not provide any data on these risks or how they might be mitigated. Additionally, while they discuss potential applications for senolytic drugs beyond SARS-CoV-2 infections such as other viral infections or age related diseases, they do not provide any data on these applications or how effective they might be at treating them. Finally, while they discuss potential benefits for elderly individuals who are at higher risk for severe COVID-19 outcomes due to underlying geriatric syndromes or chronic diseases such as obesity, they do not explore how these conditions might affect the efficacy of senolytic drugs or if there are any additional risks associated with using them in this population. </w:t>
      </w:r>
    </w:p>
    <w:p>
      <w:pPr>
        <w:jc w:val="both"/>
      </w:pPr>
      <w:r>
        <w:rPr/>
        <w:t xml:space="preserve">In conclusion</w:t>
      </w:r>
    </w:p>
    <w:p>
      <w:pPr>
        <w:pStyle w:val="Heading1"/>
      </w:pPr>
      <w:bookmarkStart w:id="5" w:name="_Toc5"/>
      <w:r>
        <w:t>Topics for further research:</w:t>
      </w:r>
      <w:bookmarkEnd w:id="5"/>
    </w:p>
    <w:p>
      <w:pPr>
        <w:spacing w:after="0"/>
        <w:numPr>
          <w:ilvl w:val="0"/>
          <w:numId w:val="2"/>
        </w:numPr>
      </w:pPr>
      <w:r>
        <w:rPr/>
        <w:t xml:space="preserve">Senolytic drugs side effects</w:t>
      </w:r>
    </w:p>
    <w:p>
      <w:pPr>
        <w:spacing w:after="0"/>
        <w:numPr>
          <w:ilvl w:val="0"/>
          <w:numId w:val="2"/>
        </w:numPr>
      </w:pPr>
      <w:r>
        <w:rPr/>
        <w:t xml:space="preserve">Senolytic drugs toxicity</w:t>
      </w:r>
    </w:p>
    <w:p>
      <w:pPr>
        <w:spacing w:after="0"/>
        <w:numPr>
          <w:ilvl w:val="0"/>
          <w:numId w:val="2"/>
        </w:numPr>
      </w:pPr>
      <w:r>
        <w:rPr/>
        <w:t xml:space="preserve">Senolytic drugs for other viral infections</w:t>
      </w:r>
    </w:p>
    <w:p>
      <w:pPr>
        <w:spacing w:after="0"/>
        <w:numPr>
          <w:ilvl w:val="0"/>
          <w:numId w:val="2"/>
        </w:numPr>
      </w:pPr>
      <w:r>
        <w:rPr/>
        <w:t xml:space="preserve">Senolytic drugs for age-related diseases</w:t>
      </w:r>
    </w:p>
    <w:p>
      <w:pPr>
        <w:spacing w:after="0"/>
        <w:numPr>
          <w:ilvl w:val="0"/>
          <w:numId w:val="2"/>
        </w:numPr>
      </w:pPr>
      <w:r>
        <w:rPr/>
        <w:t xml:space="preserve">Senolytic drugs and geriatric syndromes</w:t>
      </w:r>
    </w:p>
    <w:p>
      <w:pPr>
        <w:numPr>
          <w:ilvl w:val="0"/>
          <w:numId w:val="2"/>
        </w:numPr>
      </w:pPr>
      <w:r>
        <w:rPr/>
        <w:t xml:space="preserve">Senolytic drugs and obesity</w:t>
      </w:r>
    </w:p>
    <w:p>
      <w:pPr>
        <w:pStyle w:val="Heading1"/>
      </w:pPr>
      <w:bookmarkStart w:id="6" w:name="_Toc6"/>
      <w:r>
        <w:t>Report location:</w:t>
      </w:r>
      <w:bookmarkEnd w:id="6"/>
    </w:p>
    <w:p>
      <w:hyperlink r:id="rId8" w:history="1">
        <w:r>
          <w:rPr>
            <w:color w:val="2980b9"/>
            <w:u w:val="single"/>
          </w:rPr>
          <w:t xml:space="preserve">https://www.fullpicture.app/item/11b00b4f2be2e39d86bf06bb50aecc34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3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e4832" TargetMode="External"/><Relationship Id="rId8" Type="http://schemas.openxmlformats.org/officeDocument/2006/relationships/hyperlink" Target="https://www.fullpicture.app/item/11b00b4f2be2e39d86bf06bb50aec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2023-02-26T16:05:51+01:00</dcterms:created>
  <dcterms:modified xsi:type="dcterms:W3CDTF">2023-02-26T16:05:51+01:00</dcterms:modified>
</cp:coreProperties>
</file>

<file path=docProps/custom.xml><?xml version="1.0" encoding="utf-8"?>
<Properties xmlns="http://schemas.openxmlformats.org/officeDocument/2006/custom-properties" xmlns:vt="http://schemas.openxmlformats.org/officeDocument/2006/docPropsVTypes"/>
</file>