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National Cultural Policy | Office for the Arts</w:t>
      </w:r>
      <w:br/>
      <w:hyperlink r:id="rId7" w:history="1">
        <w:r>
          <w:rPr>
            <w:color w:val="2980b9"/>
            <w:u w:val="single"/>
          </w:rPr>
          <w:t xml:space="preserve">https://www.arts.gov.au/what-we-do/new-national-cultural-policy</w:t>
        </w:r>
      </w:hyperlink>
    </w:p>
    <w:p>
      <w:pPr>
        <w:pStyle w:val="Heading1"/>
      </w:pPr>
      <w:bookmarkStart w:id="2" w:name="_Toc2"/>
      <w:r>
        <w:t>Article summary:</w:t>
      </w:r>
      <w:bookmarkEnd w:id="2"/>
    </w:p>
    <w:p>
      <w:pPr>
        <w:jc w:val="both"/>
      </w:pPr>
      <w:r>
        <w:rPr/>
        <w:t xml:space="preserve">1. The Australian Government has released a 5-year plan called Revive to renew and revive Australia's arts, entertainment, and cultural sector.
</w:t>
      </w:r>
    </w:p>
    <w:p>
      <w:pPr>
        <w:jc w:val="both"/>
      </w:pPr>
      <w:r>
        <w:rPr/>
        <w:t xml:space="preserve">2. Revive is structured around 5 interconnected pillars that set out the government's strategic objectives, including supporting First Nations stories and artists, providing access to arts and culture for all Australians, and establishing Music Australia and Writers Australia within Creative Australia.
</w:t>
      </w:r>
    </w:p>
    <w:p>
      <w:pPr>
        <w:jc w:val="both"/>
      </w:pPr>
      <w:r>
        <w:rPr/>
        <w:t xml:space="preserve">3. Other key measures include sharing the national collection with regional institutions, introducing legislation to protect First Nations knowledge and cultural expressions, enhancing the Resale Royalty Scheme for visual artists, and supporting regional arts and culture through an increase in funding for the Regional Arts Fund.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a promotional piece for the Australian Government's National Cultural Policy - Revive: a place for every story, a story for every place. The article highlights the key pillars and principles of the policy and its various measures to support Australia's arts, entertainment, and cultural sector.</w:t>
      </w:r>
    </w:p>
    <w:p>
      <w:pPr>
        <w:jc w:val="both"/>
      </w:pPr>
      <w:r>
        <w:rPr/>
        <w:t xml:space="preserve"/>
      </w:r>
    </w:p>
    <w:p>
      <w:pPr>
        <w:jc w:val="both"/>
      </w:pPr>
      <w:r>
        <w:rPr/>
        <w:t xml:space="preserve">The article presents a one-sided view of the policy without exploring any counterarguments or potential risks associated with its implementation. It also lacks evidence to support some of its claims, such as how Revive will change the trajectory of the creative sector and deliver new momentum to Australia's arts, entertainment and cultural sector.</w:t>
      </w:r>
    </w:p>
    <w:p>
      <w:pPr>
        <w:jc w:val="both"/>
      </w:pPr>
      <w:r>
        <w:rPr/>
        <w:t xml:space="preserve"/>
      </w:r>
    </w:p>
    <w:p>
      <w:pPr>
        <w:jc w:val="both"/>
      </w:pPr>
      <w:r>
        <w:rPr/>
        <w:t xml:space="preserve">The article does not address some critical points that could impact the success of this policy. For instance, it does not mention how funding cuts in recent years have affected Australia's arts and culture sector or how this policy will address those issues. Additionally, there is no discussion about how this policy will impact regional areas or smaller organizations that may struggle to access funding.</w:t>
      </w:r>
    </w:p>
    <w:p>
      <w:pPr>
        <w:jc w:val="both"/>
      </w:pPr>
      <w:r>
        <w:rPr/>
        <w:t xml:space="preserve"/>
      </w:r>
    </w:p>
    <w:p>
      <w:pPr>
        <w:jc w:val="both"/>
      </w:pPr>
      <w:r>
        <w:rPr/>
        <w:t xml:space="preserve">Furthermore, while the article mentions that Creative Australia will provide greater strategic oversight and engagement across the sector with additional funding from 2023-24, it does not explain where this funding will come from or if there are any potential drawbacks associated with it.</w:t>
      </w:r>
    </w:p>
    <w:p>
      <w:pPr>
        <w:jc w:val="both"/>
      </w:pPr>
      <w:r>
        <w:rPr/>
        <w:t xml:space="preserve"/>
      </w:r>
    </w:p>
    <w:p>
      <w:pPr>
        <w:jc w:val="both"/>
      </w:pPr>
      <w:r>
        <w:rPr/>
        <w:t xml:space="preserve">Overall, while this article provides an overview of Australia's National Cultural Policy - Revive: a place for every story, a story for every place, it lacks critical analysis and exploration of potential risks or drawbacks associated with its implementation.</w:t>
      </w:r>
    </w:p>
    <w:p>
      <w:pPr>
        <w:pStyle w:val="Heading1"/>
      </w:pPr>
      <w:bookmarkStart w:id="5" w:name="_Toc5"/>
      <w:r>
        <w:t>Topics for further research:</w:t>
      </w:r>
      <w:bookmarkEnd w:id="5"/>
    </w:p>
    <w:p>
      <w:pPr>
        <w:spacing w:after="0"/>
        <w:numPr>
          <w:ilvl w:val="0"/>
          <w:numId w:val="2"/>
        </w:numPr>
      </w:pPr>
      <w:r>
        <w:rPr/>
        <w:t xml:space="preserve">Impact of funding cuts on Australia's arts and culture sector
</w:t>
      </w:r>
    </w:p>
    <w:p>
      <w:pPr>
        <w:spacing w:after="0"/>
        <w:numPr>
          <w:ilvl w:val="0"/>
          <w:numId w:val="2"/>
        </w:numPr>
      </w:pPr>
      <w:r>
        <w:rPr/>
        <w:t xml:space="preserve">Challenges faced by regional areas and smaller organizations in accessing funding
</w:t>
      </w:r>
    </w:p>
    <w:p>
      <w:pPr>
        <w:spacing w:after="0"/>
        <w:numPr>
          <w:ilvl w:val="0"/>
          <w:numId w:val="2"/>
        </w:numPr>
      </w:pPr>
      <w:r>
        <w:rPr/>
        <w:t xml:space="preserve">Potential drawbacks of increased funding for Creative Australia
</w:t>
      </w:r>
    </w:p>
    <w:p>
      <w:pPr>
        <w:spacing w:after="0"/>
        <w:numPr>
          <w:ilvl w:val="0"/>
          <w:numId w:val="2"/>
        </w:numPr>
      </w:pPr>
      <w:r>
        <w:rPr/>
        <w:t xml:space="preserve">Criticisms or concerns raised by stakeholders regarding the National Cultural Policy
</w:t>
      </w:r>
    </w:p>
    <w:p>
      <w:pPr>
        <w:spacing w:after="0"/>
        <w:numPr>
          <w:ilvl w:val="0"/>
          <w:numId w:val="2"/>
        </w:numPr>
      </w:pPr>
      <w:r>
        <w:rPr/>
        <w:t xml:space="preserve">Comparison of Australia's cultural policies with those of other countries
</w:t>
      </w:r>
    </w:p>
    <w:p>
      <w:pPr>
        <w:numPr>
          <w:ilvl w:val="0"/>
          <w:numId w:val="2"/>
        </w:numPr>
      </w:pPr>
      <w:r>
        <w:rPr/>
        <w:t xml:space="preserve">Success stories or case studies of cultural policies implemented in other countries.</w:t>
      </w:r>
    </w:p>
    <w:p>
      <w:pPr>
        <w:pStyle w:val="Heading1"/>
      </w:pPr>
      <w:bookmarkStart w:id="6" w:name="_Toc6"/>
      <w:r>
        <w:t>Report location:</w:t>
      </w:r>
      <w:bookmarkEnd w:id="6"/>
    </w:p>
    <w:p>
      <w:hyperlink r:id="rId8" w:history="1">
        <w:r>
          <w:rPr>
            <w:color w:val="2980b9"/>
            <w:u w:val="single"/>
          </w:rPr>
          <w:t xml:space="preserve">https://www.fullpicture.app/item/12424cea71f029e7b6356dfa6d9a75ae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A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s.gov.au/what-we-do/new-national-cultural-policy" TargetMode="External"/><Relationship Id="rId8" Type="http://schemas.openxmlformats.org/officeDocument/2006/relationships/hyperlink" Target="https://www.fullpicture.app/item/12424cea71f029e7b6356dfa6d9a7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2023-12-22T04:50:09+01:00</dcterms:created>
  <dcterms:modified xsi:type="dcterms:W3CDTF">2023-12-22T04:50:09+01:00</dcterms:modified>
</cp:coreProperties>
</file>

<file path=docProps/custom.xml><?xml version="1.0" encoding="utf-8"?>
<Properties xmlns="http://schemas.openxmlformats.org/officeDocument/2006/custom-properties" xmlns:vt="http://schemas.openxmlformats.org/officeDocument/2006/docPropsVTypes"/>
</file>