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Dual-Energy CT: New Horizon in Medical Imaging - PMC</w:t>
      </w:r>
      <w:br/>
      <w:hyperlink r:id="rId7" w:history="1">
        <w:r>
          <w:rPr>
            <w:color w:val="2980b9"/>
            <w:u w:val="single"/>
          </w:rPr>
          <w:t xml:space="preserve">https://www.ncbi.nlm.nih.gov/pmc/articles/PMC5447632/</w:t>
        </w:r>
      </w:hyperlink>
    </w:p>
    <w:p>
      <w:pPr>
        <w:pStyle w:val="Heading1"/>
      </w:pPr>
      <w:bookmarkStart w:id="2" w:name="_Toc2"/>
      <w:r>
        <w:t>Article summary:</w:t>
      </w:r>
      <w:bookmarkEnd w:id="2"/>
    </w:p>
    <w:p>
      <w:pPr>
        <w:jc w:val="both"/>
      </w:pPr>
      <w:r>
        <w:rPr/>
        <w:t xml:space="preserve">1. Dual-energy CT has the potential to improve material differentiation compared to single-energy CT.</w:t>
      </w:r>
    </w:p>
    <w:p>
      <w:pPr>
        <w:jc w:val="both"/>
      </w:pPr>
      <w:r>
        <w:rPr/>
        <w:t xml:space="preserve">2. Five different methods of dual-energy CT data acquisition are described, each with their own advantages and disadvantages.</w:t>
      </w:r>
    </w:p>
    <w:p>
      <w:pPr>
        <w:jc w:val="both"/>
      </w:pPr>
      <w:r>
        <w:rPr/>
        <w:t xml:space="preserve">3. Various clinical applications of dual-energy CT are discussed, including virtual monoenergetic imaging, effective atomic number map, virtual non-contrast or unenhanced imaging, virtual non-calcium imaging, iodine map, inhaled xenon map, uric acid imaging, automatic bone removal and lung vessels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dual-energy CT technology and its various clinical applications. The article provides a comprehensive overview of the five different methods of dual-energy CT data acquisition and their respective advantages and disadvantages. It also provides detailed descriptions of the various clinical applications of dual-energy CT such as virtual monoenergetic imaging, effective atomic number mapping, virtual non-contrast or unenhanced imaging, virtual non-calcium imaging, iodine mapping, inhaled xenon mapping, uric acid imaging, automatic bone removal and lung vessels analysis.</w:t>
      </w:r>
    </w:p>
    <w:p>
      <w:pPr>
        <w:jc w:val="both"/>
      </w:pPr>
      <w:r>
        <w:rPr/>
        <w:t xml:space="preserve">The article does not appear to be biased or one sided in its reporting; it presents both sides equally by providing an overview of the advantages and disadvantages associated with each method of dual energy CT data acquisition. Furthermore, the article does not appear to contain any promotional content or partiality towards any particular method or application; instead it provides an unbiased overview of all available options for dual energy CT data acquisition and their respective clinical applications.</w:t>
      </w:r>
    </w:p>
    <w:p>
      <w:pPr>
        <w:jc w:val="both"/>
      </w:pPr>
      <w:r>
        <w:rPr/>
        <w:t xml:space="preserve">The article does not appear to contain any unsupported claims or missing points of consideration; instead it provides a comprehensive overview of all available options for dual energy CT data acquisition as well as detailed descriptions of the various clinical applications that can be achieved using this technology. Furthermore, the article does not appear to contain any missing evidence for the claims made; instead it provides detailed descriptions supported by relevant research studies where appropriate.</w:t>
      </w:r>
    </w:p>
    <w:p>
      <w:pPr>
        <w:jc w:val="both"/>
      </w:pPr>
      <w:r>
        <w:rPr/>
        <w:t xml:space="preserve">Finally, the article does note possible risks associated with using dual energy CT technology such as radiation exposure to patients; however it could have explored counterarguments more thoroughly in order to provide a more balanced view on this issue.</w:t>
      </w:r>
    </w:p>
    <w:p>
      <w:pPr>
        <w:pStyle w:val="Heading1"/>
      </w:pPr>
      <w:bookmarkStart w:id="5" w:name="_Toc5"/>
      <w:r>
        <w:t>Topics for further research:</w:t>
      </w:r>
      <w:bookmarkEnd w:id="5"/>
    </w:p>
    <w:p>
      <w:pPr>
        <w:spacing w:after="0"/>
        <w:numPr>
          <w:ilvl w:val="0"/>
          <w:numId w:val="2"/>
        </w:numPr>
      </w:pPr>
      <w:r>
        <w:rPr/>
        <w:t xml:space="preserve">Dual-energy CT radiation dose</w:t>
      </w:r>
    </w:p>
    <w:p>
      <w:pPr>
        <w:spacing w:after="0"/>
        <w:numPr>
          <w:ilvl w:val="0"/>
          <w:numId w:val="2"/>
        </w:numPr>
      </w:pPr>
      <w:r>
        <w:rPr/>
        <w:t xml:space="preserve">Dual-energy CT safety</w:t>
      </w:r>
    </w:p>
    <w:p>
      <w:pPr>
        <w:spacing w:after="0"/>
        <w:numPr>
          <w:ilvl w:val="0"/>
          <w:numId w:val="2"/>
        </w:numPr>
      </w:pPr>
      <w:r>
        <w:rPr/>
        <w:t xml:space="preserve">Dual-energy CT artifacts</w:t>
      </w:r>
    </w:p>
    <w:p>
      <w:pPr>
        <w:spacing w:after="0"/>
        <w:numPr>
          <w:ilvl w:val="0"/>
          <w:numId w:val="2"/>
        </w:numPr>
      </w:pPr>
      <w:r>
        <w:rPr/>
        <w:t xml:space="preserve">Dual-energy CT image quality</w:t>
      </w:r>
    </w:p>
    <w:p>
      <w:pPr>
        <w:spacing w:after="0"/>
        <w:numPr>
          <w:ilvl w:val="0"/>
          <w:numId w:val="2"/>
        </w:numPr>
      </w:pPr>
      <w:r>
        <w:rPr/>
        <w:t xml:space="preserve">Dual-energy CT contrast enhancement</w:t>
      </w:r>
    </w:p>
    <w:p>
      <w:pPr>
        <w:numPr>
          <w:ilvl w:val="0"/>
          <w:numId w:val="2"/>
        </w:numPr>
      </w:pPr>
      <w:r>
        <w:rPr/>
        <w:t xml:space="preserve">Dual-energy CT clinical applications</w:t>
      </w:r>
    </w:p>
    <w:p>
      <w:pPr>
        <w:pStyle w:val="Heading1"/>
      </w:pPr>
      <w:bookmarkStart w:id="6" w:name="_Toc6"/>
      <w:r>
        <w:t>Report location:</w:t>
      </w:r>
      <w:bookmarkEnd w:id="6"/>
    </w:p>
    <w:p>
      <w:hyperlink r:id="rId8" w:history="1">
        <w:r>
          <w:rPr>
            <w:color w:val="2980b9"/>
            <w:u w:val="single"/>
          </w:rPr>
          <w:t xml:space="preserve">https://www.fullpicture.app/item/126e1e4d3cc0b4def1b97ea11d843ae8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37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447632/" TargetMode="External"/><Relationship Id="rId8" Type="http://schemas.openxmlformats.org/officeDocument/2006/relationships/hyperlink" Target="https://www.fullpicture.app/item/126e1e4d3cc0b4def1b97ea11d843a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2023-02-20T17:34:21+01:00</dcterms:created>
  <dcterms:modified xsi:type="dcterms:W3CDTF">2023-02-20T17:34:21+01:00</dcterms:modified>
</cp:coreProperties>
</file>

<file path=docProps/custom.xml><?xml version="1.0" encoding="utf-8"?>
<Properties xmlns="http://schemas.openxmlformats.org/officeDocument/2006/custom-properties" xmlns:vt="http://schemas.openxmlformats.org/officeDocument/2006/docPropsVTypes"/>
</file>