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Geographic Distribution of Disease Mutations in the Ashkenazi Jewish Population Supports Genetic Drift over Selection - PMC</w:t>
      </w:r>
      <w:br/>
      <w:hyperlink r:id="rId7" w:history="1">
        <w:r>
          <w:rPr>
            <w:color w:val="2980b9"/>
            <w:u w:val="single"/>
          </w:rPr>
          <w:t xml:space="preserve">https://www.ncbi.nlm.nih.gov/pmc/articles/PMC1180346/</w:t>
        </w:r>
      </w:hyperlink>
    </w:p>
    <w:p>
      <w:pPr>
        <w:pStyle w:val="Heading1"/>
      </w:pPr>
      <w:bookmarkStart w:id="2" w:name="_Toc2"/>
      <w:r>
        <w:t>Article summary:</w:t>
      </w:r>
      <w:bookmarkEnd w:id="2"/>
    </w:p>
    <w:p>
      <w:pPr>
        <w:jc w:val="both"/>
      </w:pPr>
      <w:r>
        <w:rPr/>
        <w:t xml:space="preserve">1. The Ashkenazi Jewish population has four lysosomal storage diseases (LSDs) at increased frequency, which has suggested natural selection as the driving force.</w:t>
      </w:r>
    </w:p>
    <w:p>
      <w:pPr>
        <w:jc w:val="both"/>
      </w:pPr>
      <w:r>
        <w:rPr/>
        <w:t xml:space="preserve">2. This article compares LSDs and nonlysosomal storage diseases (NLSDs) in terms of the number of mutations, allele-frequency distributions, and estimated coalescence dates of mutations.</w:t>
      </w:r>
    </w:p>
    <w:p>
      <w:pPr>
        <w:jc w:val="both"/>
      </w:pPr>
      <w:r>
        <w:rPr/>
        <w:t xml:space="preserve">3. The data suggests that random genetic drift is the primary determinant of disease mutations in the Ashkenazi population, rather than selection.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geographic distribution of disease mutations in the Ashkenazi Jewish population and supports its conclusions with evidence from multiple sources. The article also presents both sides of the argument – selection versus random genetic drift – and provides evidence to support its conclusion that random genetic drift is more likely to be responsible for these mutations. </w:t>
      </w:r>
    </w:p>
    <w:p>
      <w:pPr>
        <w:jc w:val="both"/>
      </w:pPr>
      <w:r>
        <w:rPr/>
        <w:t xml:space="preserve">However, there are some potential biases present in the article. For example, it does not explore any counterarguments to its conclusion or consider any other possible explanations for the observed patterns. Additionally, it does not provide any information on how these findings may impact public health or medical practice, which could be useful for readers who are interested in this topic from a practical perspective. </w:t>
      </w:r>
    </w:p>
    <w:p>
      <w:pPr>
        <w:jc w:val="both"/>
      </w:pPr>
      <w:r>
        <w:rPr/>
        <w:t xml:space="preserve">In conclusion, while this article is generally reliable and trustworthy, there are some potential biases present that should be taken into consideration when reading it.</w:t>
      </w:r>
    </w:p>
    <w:p>
      <w:pPr>
        <w:pStyle w:val="Heading1"/>
      </w:pPr>
      <w:bookmarkStart w:id="5" w:name="_Toc5"/>
      <w:r>
        <w:t>Topics for further research:</w:t>
      </w:r>
      <w:bookmarkEnd w:id="5"/>
    </w:p>
    <w:p>
      <w:pPr>
        <w:spacing w:after="0"/>
        <w:numPr>
          <w:ilvl w:val="0"/>
          <w:numId w:val="2"/>
        </w:numPr>
      </w:pPr>
      <w:r>
        <w:rPr/>
        <w:t xml:space="preserve">Ashkenazi Jewish population health</w:t>
      </w:r>
    </w:p>
    <w:p>
      <w:pPr>
        <w:spacing w:after="0"/>
        <w:numPr>
          <w:ilvl w:val="0"/>
          <w:numId w:val="2"/>
        </w:numPr>
      </w:pPr>
      <w:r>
        <w:rPr/>
        <w:t xml:space="preserve">Disease mutation selection</w:t>
      </w:r>
    </w:p>
    <w:p>
      <w:pPr>
        <w:spacing w:after="0"/>
        <w:numPr>
          <w:ilvl w:val="0"/>
          <w:numId w:val="2"/>
        </w:numPr>
      </w:pPr>
      <w:r>
        <w:rPr/>
        <w:t xml:space="preserve">Random genetic drift</w:t>
      </w:r>
    </w:p>
    <w:p>
      <w:pPr>
        <w:spacing w:after="0"/>
        <w:numPr>
          <w:ilvl w:val="0"/>
          <w:numId w:val="2"/>
        </w:numPr>
      </w:pPr>
      <w:r>
        <w:rPr/>
        <w:t xml:space="preserve">Impact of disease mutations on public health</w:t>
      </w:r>
    </w:p>
    <w:p>
      <w:pPr>
        <w:spacing w:after="0"/>
        <w:numPr>
          <w:ilvl w:val="0"/>
          <w:numId w:val="2"/>
        </w:numPr>
      </w:pPr>
      <w:r>
        <w:rPr/>
        <w:t xml:space="preserve">Counterarguments to random genetic drift</w:t>
      </w:r>
    </w:p>
    <w:p>
      <w:pPr>
        <w:numPr>
          <w:ilvl w:val="0"/>
          <w:numId w:val="2"/>
        </w:numPr>
      </w:pPr>
      <w:r>
        <w:rPr/>
        <w:t xml:space="preserve">Practical implications of disease mutations</w:t>
      </w:r>
    </w:p>
    <w:p>
      <w:pPr>
        <w:pStyle w:val="Heading1"/>
      </w:pPr>
      <w:bookmarkStart w:id="6" w:name="_Toc6"/>
      <w:r>
        <w:t>Report location:</w:t>
      </w:r>
      <w:bookmarkEnd w:id="6"/>
    </w:p>
    <w:p>
      <w:hyperlink r:id="rId8" w:history="1">
        <w:r>
          <w:rPr>
            <w:color w:val="2980b9"/>
            <w:u w:val="single"/>
          </w:rPr>
          <w:t xml:space="preserve">https://www.fullpicture.app/item/128660e19798b06f8af90ed312b53c9f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62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180346/" TargetMode="External"/><Relationship Id="rId8" Type="http://schemas.openxmlformats.org/officeDocument/2006/relationships/hyperlink" Target="https://www.fullpicture.app/item/128660e19798b06f8af90ed312b53c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2023-02-27T07:06:40+01:00</dcterms:created>
  <dcterms:modified xsi:type="dcterms:W3CDTF">2023-02-27T07:06:40+01:00</dcterms:modified>
</cp:coreProperties>
</file>

<file path=docProps/custom.xml><?xml version="1.0" encoding="utf-8"?>
<Properties xmlns="http://schemas.openxmlformats.org/officeDocument/2006/custom-properties" xmlns:vt="http://schemas.openxmlformats.org/officeDocument/2006/docPropsVTypes"/>
</file>