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auxin-responsive GH3 gene family in rice (Oryza sativa) | SpringerLink</w:t>
      </w:r>
      <w:br/>
      <w:hyperlink r:id="rId7" w:history="1">
        <w:r>
          <w:rPr>
            <w:color w:val="2980b9"/>
            <w:u w:val="single"/>
          </w:rPr>
          <w:t xml:space="preserve">https://link.springer.com/article/10.1007/s10142-005-0142-5</w:t>
        </w:r>
      </w:hyperlink>
    </w:p>
    <w:p>
      <w:pPr>
        <w:pStyle w:val="Heading1"/>
      </w:pPr>
      <w:bookmarkStart w:id="2" w:name="_Toc2"/>
      <w:r>
        <w:t>Article summary:</w:t>
      </w:r>
      <w:bookmarkEnd w:id="2"/>
    </w:p>
    <w:p>
      <w:pPr>
        <w:jc w:val="both"/>
      </w:pPr>
      <w:r>
        <w:rPr/>
        <w:t xml:space="preserve">1. Auxin-responsive genes play a critical role in regulating plant responses, and have been grouped into three major classes: Aux/IAA, SAUR, and GH3.</w:t>
      </w:r>
    </w:p>
    <w:p>
      <w:pPr>
        <w:jc w:val="both"/>
      </w:pPr>
      <w:r>
        <w:rPr/>
        <w:t xml:space="preserve">2. The GH3 gene family is represented as a multigene family in the Arabidopsis genome comprising of 20 members, many of which are induced by exogenous application of auxin.</w:t>
      </w:r>
    </w:p>
    <w:p>
      <w:pPr>
        <w:jc w:val="both"/>
      </w:pPr>
      <w:r>
        <w:rPr/>
        <w:t xml:space="preserve">3. Light also regulates the transcript levels of Arabidopsis GH3 genes through phytochromes A and B, with FIN219 identified as a crucial component in photomorphogenesis.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例如，文章只提到了GH3基因家族在植物中的作用，但没有探讨其可能的负面影响或风险。此外，文章也没有平等地呈现双方观点，而是只关注了GH3基因家族的积极作用。</w:t>
      </w:r>
    </w:p>
    <w:p>
      <w:pPr>
        <w:jc w:val="both"/>
      </w:pPr>
      <w:r>
        <w:rPr/>
        <w:t xml:space="preserve"/>
      </w:r>
    </w:p>
    <w:p>
      <w:pPr>
        <w:jc w:val="both"/>
      </w:pPr>
      <w:r>
        <w:rPr/>
        <w:t xml:space="preserve">此外，文章提出了一些主张，但未提供足够的证据来支持这些主张。例如，在介绍Aux/IAA类早期生长素响应基因时，文章声称这些基因已经被从不同植物物种中鉴定和表征。然而，文章并未提供任何具体的例子或参考文献来支持这个主张。</w:t>
      </w:r>
    </w:p>
    <w:p>
      <w:pPr>
        <w:jc w:val="both"/>
      </w:pPr>
      <w:r>
        <w:rPr/>
        <w:t xml:space="preserve"/>
      </w:r>
    </w:p>
    <w:p>
      <w:pPr>
        <w:jc w:val="both"/>
      </w:pPr>
      <w:r>
        <w:rPr/>
        <w:t xml:space="preserve">总之，尽管该文章并没有明显的偏见或宣传内容，但仍存在一些片面报道、缺失考虑点和未提供足够证据支持某些主张等问题。</w:t>
      </w:r>
    </w:p>
    <w:p>
      <w:pPr>
        <w:pStyle w:val="Heading1"/>
      </w:pPr>
      <w:bookmarkStart w:id="5" w:name="_Toc5"/>
      <w:r>
        <w:t>Topics for further research:</w:t>
      </w:r>
      <w:bookmarkEnd w:id="5"/>
    </w:p>
    <w:p>
      <w:pPr>
        <w:spacing w:after="0"/>
        <w:numPr>
          <w:ilvl w:val="0"/>
          <w:numId w:val="2"/>
        </w:numPr>
      </w:pPr>
      <w:r>
        <w:rPr/>
        <w:t xml:space="preserve">Negative effects of GH3 gene family
</w:t>
      </w:r>
    </w:p>
    <w:p>
      <w:pPr>
        <w:spacing w:after="0"/>
        <w:numPr>
          <w:ilvl w:val="0"/>
          <w:numId w:val="2"/>
        </w:numPr>
      </w:pPr>
      <w:r>
        <w:rPr/>
        <w:t xml:space="preserve">Risks associated with GH3 gene family
</w:t>
      </w:r>
    </w:p>
    <w:p>
      <w:pPr>
        <w:spacing w:after="0"/>
        <w:numPr>
          <w:ilvl w:val="0"/>
          <w:numId w:val="2"/>
        </w:numPr>
      </w:pPr>
      <w:r>
        <w:rPr/>
        <w:t xml:space="preserve">Different perspectives on GH3 gene family
</w:t>
      </w:r>
    </w:p>
    <w:p>
      <w:pPr>
        <w:spacing w:after="0"/>
        <w:numPr>
          <w:ilvl w:val="0"/>
          <w:numId w:val="2"/>
        </w:numPr>
      </w:pPr>
      <w:r>
        <w:rPr/>
        <w:t xml:space="preserve">Evidence for identification and characterization of Aux/IAA genes
</w:t>
      </w:r>
    </w:p>
    <w:p>
      <w:pPr>
        <w:spacing w:after="0"/>
        <w:numPr>
          <w:ilvl w:val="0"/>
          <w:numId w:val="2"/>
        </w:numPr>
      </w:pPr>
      <w:r>
        <w:rPr/>
        <w:t xml:space="preserve">Limitations of the article's claims
</w:t>
      </w:r>
    </w:p>
    <w:p>
      <w:pPr>
        <w:numPr>
          <w:ilvl w:val="0"/>
          <w:numId w:val="2"/>
        </w:numPr>
      </w:pPr>
      <w:r>
        <w:rPr/>
        <w:t xml:space="preserve">Unaddressed considerations in the article</w:t>
      </w:r>
    </w:p>
    <w:p>
      <w:pPr>
        <w:pStyle w:val="Heading1"/>
      </w:pPr>
      <w:bookmarkStart w:id="6" w:name="_Toc6"/>
      <w:r>
        <w:t>Report location:</w:t>
      </w:r>
      <w:bookmarkEnd w:id="6"/>
    </w:p>
    <w:p>
      <w:hyperlink r:id="rId8" w:history="1">
        <w:r>
          <w:rPr>
            <w:color w:val="2980b9"/>
            <w:u w:val="single"/>
          </w:rPr>
          <w:t xml:space="preserve">https://www.fullpicture.app/item/128ecd74d735594003e2a3cc9914b948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1E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142-005-0142-5" TargetMode="External"/><Relationship Id="rId8" Type="http://schemas.openxmlformats.org/officeDocument/2006/relationships/hyperlink" Target="https://www.fullpicture.app/item/128ecd74d735594003e2a3cc9914b9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2023-04-01T07:09:45+02:00</dcterms:created>
  <dcterms:modified xsi:type="dcterms:W3CDTF">2023-04-01T07:09:45+02:00</dcterms:modified>
</cp:coreProperties>
</file>

<file path=docProps/custom.xml><?xml version="1.0" encoding="utf-8"?>
<Properties xmlns="http://schemas.openxmlformats.org/officeDocument/2006/custom-properties" xmlns:vt="http://schemas.openxmlformats.org/officeDocument/2006/docPropsVTypes"/>
</file>