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the Global Islamic Economy Report 2022</w:t>
      </w:r>
      <w:br/>
      <w:hyperlink r:id="rId7" w:history="1">
        <w:r>
          <w:rPr>
            <w:color w:val="2980b9"/>
            <w:u w:val="single"/>
          </w:rPr>
          <w:t xml:space="preserve">https://www.dinarstandard.com/post/state-of-the-global-islamic-economy-report-2022</w:t>
        </w:r>
      </w:hyperlink>
    </w:p>
    <w:p>
      <w:pPr>
        <w:pStyle w:val="Heading1"/>
      </w:pPr>
      <w:bookmarkStart w:id="2" w:name="_Toc2"/>
      <w:r>
        <w:t>Article summary:</w:t>
      </w:r>
      <w:bookmarkEnd w:id="2"/>
    </w:p>
    <w:p>
      <w:pPr>
        <w:jc w:val="both"/>
      </w:pPr>
      <w:r>
        <w:rPr/>
        <w:t xml:space="preserve">1. Le marché mondial de l'économie islamique a atteint 2 billions de dollars en 2021, avec une croissance annuelle de 8,9 % et devrait atteindre 2,8 billions de dollars d'ici 2025.</w:t>
      </w:r>
    </w:p>
    <w:p>
      <w:pPr>
        <w:jc w:val="both"/>
      </w:pPr>
      <w:r>
        <w:rPr/>
        <w:t xml:space="preserve">2. Les actifs de la finance islamique ont atteint 3,6 billions de dollars en 2022 et devraient atteindre 4,9 billions de dollars d'ici 2025.</w:t>
      </w:r>
    </w:p>
    <w:p>
      <w:pPr>
        <w:jc w:val="both"/>
      </w:pPr>
      <w:r>
        <w:rPr/>
        <w:t xml:space="preserve">3. La Malaisie, l'Arabie saoudite, les Émirats arabes unis, l'Indonésie et la Turquie sont les pays leaders dans l'économie islamique mondiale selon l'indicateur global de l'économie islamique.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détaillée de l'état de l'économie islamique mondiale en 2022, avec un accent particulier sur la reprise post-COVID-19. Il couvre les secteurs de la finance islamique, des aliments et boissons halal, des cosmétiques halal, des produits pharmaceutiques halal, du voyage convivial pour les musulmans, de la mode modeste et des médias et loisirs à thème islamique. Le rapport est produit par DinarStandard et soutenu par le Département de l'économie et du tourisme (DET) à Dubaï.</w:t>
      </w:r>
    </w:p>
    <w:p>
      <w:pPr>
        <w:jc w:val="both"/>
      </w:pPr>
      <w:r>
        <w:rPr/>
        <w:t xml:space="preserve"/>
      </w:r>
    </w:p>
    <w:p>
      <w:pPr>
        <w:jc w:val="both"/>
      </w:pPr>
      <w:r>
        <w:rPr/>
        <w:t xml:space="preserve">Le rapport estime que les musulmans ont dépensé 2 billions de dollars en 2021 pour les produits mentionnés ci-dessus, ce qui représente une croissance annuelle de 8,9 % et devrait atteindre 2,8 billions de dollars d'ici 2025. Les actifs financiers islamiques sont estimés à avoir atteint 3,6 billions de dollars en 2022 et devraient atteindre 4,9 billions de dollars d'ici 2025.</w:t>
      </w:r>
    </w:p>
    <w:p>
      <w:pPr>
        <w:jc w:val="both"/>
      </w:pPr>
      <w:r>
        <w:rPr/>
        <w:t xml:space="preserve"/>
      </w:r>
    </w:p>
    <w:p>
      <w:pPr>
        <w:jc w:val="both"/>
      </w:pPr>
      <w:r>
        <w:rPr/>
        <w:t xml:space="preserve">Le rapport identifie également les pays leaders dans l'économie islamique mondiale selon l'indicateur global de l'économie islamique. Les cinq premiers sont la Malaisie, l'Arabie saoudite, les Émirats arabes unis, l'Indonésie et la Turquie.</w:t>
      </w:r>
    </w:p>
    <w:p>
      <w:pPr>
        <w:jc w:val="both"/>
      </w:pPr>
      <w:r>
        <w:rPr/>
        <w:t xml:space="preserve"/>
      </w:r>
    </w:p>
    <w:p>
      <w:pPr>
        <w:jc w:val="both"/>
      </w:pPr>
      <w:r>
        <w:rPr/>
        <w:t xml:space="preserve">Cependant, il y a plusieurs biais potentiels dans cet article. Tout d'abord, il ne fournit pas suffisamment d'informations sur la méthodologie utilisée pour produire le rapport ou sur les sources des données présentées. De plus, certaines affirmations ne sont pas étayées par des preuves solides ou ne sont pas expliquées en détail.</w:t>
      </w:r>
    </w:p>
    <w:p>
      <w:pPr>
        <w:jc w:val="both"/>
      </w:pPr>
      <w:r>
        <w:rPr/>
        <w:t xml:space="preserve"/>
      </w:r>
    </w:p>
    <w:p>
      <w:pPr>
        <w:jc w:val="both"/>
      </w:pPr>
      <w:r>
        <w:rPr/>
        <w:t xml:space="preserve">En outre, le rapport semble se concentrer principalement sur les aspects positifs de l'économie islamique mondiale sans explorer suffisamment les défis ou les risques potentiels associés à ces secteurs. Il n'y a pas non plus suffisamment d'examen critique des politiques gouvernementales ou des pratiques commerciales qui peuvent affecter ces secteurs.</w:t>
      </w:r>
    </w:p>
    <w:p>
      <w:pPr>
        <w:jc w:val="both"/>
      </w:pPr>
      <w:r>
        <w:rPr/>
        <w:t xml:space="preserve"/>
      </w:r>
    </w:p>
    <w:p>
      <w:pPr>
        <w:jc w:val="both"/>
      </w:pPr>
      <w:r>
        <w:rPr/>
        <w:t xml:space="preserve">Enfin, il y a un potentiel conflit d'intérêts car le rapport est produit par DinarStandard qui peut avoir un intérêt financier dans la promotion de l'économie islamique mondiale.</w:t>
      </w:r>
    </w:p>
    <w:p>
      <w:pPr>
        <w:jc w:val="both"/>
      </w:pPr>
      <w:r>
        <w:rPr/>
        <w:t xml:space="preserve"/>
      </w:r>
    </w:p>
    <w:p>
      <w:pPr>
        <w:jc w:val="both"/>
      </w:pPr>
      <w:r>
        <w:rPr/>
        <w:t xml:space="preserve">Dans l'ensemble, bien que cet article fournisse une vue d'ensemble intéressante de l'état actuel de l'économie islamique mondiale en 2022, il doit être lu avec prudence en raison des biais potentiels mentionnés ci-dessus.</w:t>
      </w:r>
    </w:p>
    <w:p>
      <w:pPr>
        <w:pStyle w:val="Heading1"/>
      </w:pPr>
      <w:bookmarkStart w:id="5" w:name="_Toc5"/>
      <w:r>
        <w:t>Topics for further research:</w:t>
      </w:r>
      <w:bookmarkEnd w:id="5"/>
    </w:p>
    <w:p>
      <w:pPr>
        <w:spacing w:after="0"/>
        <w:numPr>
          <w:ilvl w:val="0"/>
          <w:numId w:val="2"/>
        </w:numPr>
      </w:pPr>
      <w:r>
        <w:rPr/>
        <w:t xml:space="preserve">Les méthodologies utilisées pour évaluer l'économie islamique mondiale et les sources de données utilisées pour produire le rapport de DinarStandard.
</w:t>
      </w:r>
    </w:p>
    <w:p>
      <w:pPr>
        <w:spacing w:after="0"/>
        <w:numPr>
          <w:ilvl w:val="0"/>
          <w:numId w:val="2"/>
        </w:numPr>
      </w:pPr>
      <w:r>
        <w:rPr/>
        <w:t xml:space="preserve">Les défis et les risques potentiels associés aux secteurs de l'économie islamique mondiale</w:t>
      </w:r>
    </w:p>
    <w:p>
      <w:pPr>
        <w:spacing w:after="0"/>
        <w:numPr>
          <w:ilvl w:val="0"/>
          <w:numId w:val="2"/>
        </w:numPr>
      </w:pPr>
      <w:r>
        <w:rPr/>
        <w:t xml:space="preserve">tels que la finance islamique et les produits halal.
</w:t>
      </w:r>
    </w:p>
    <w:p>
      <w:pPr>
        <w:spacing w:after="0"/>
        <w:numPr>
          <w:ilvl w:val="0"/>
          <w:numId w:val="2"/>
        </w:numPr>
      </w:pPr>
      <w:r>
        <w:rPr/>
        <w:t xml:space="preserve">Les politiques gouvernementales et les pratiques commerciales qui peuvent affecter l'économie islamique mondiale</w:t>
      </w:r>
    </w:p>
    <w:p>
      <w:pPr>
        <w:spacing w:after="0"/>
        <w:numPr>
          <w:ilvl w:val="0"/>
          <w:numId w:val="2"/>
        </w:numPr>
      </w:pPr>
      <w:r>
        <w:rPr/>
        <w:t xml:space="preserve">y compris les réglementations et les normes internationales.
</w:t>
      </w:r>
    </w:p>
    <w:p>
      <w:pPr>
        <w:spacing w:after="0"/>
        <w:numPr>
          <w:ilvl w:val="0"/>
          <w:numId w:val="2"/>
        </w:numPr>
      </w:pPr>
      <w:r>
        <w:rPr/>
        <w:t xml:space="preserve">Les perspectives de croissance et les tendances émergentes dans les secteurs de l'économie islamique mondiale</w:t>
      </w:r>
    </w:p>
    <w:p>
      <w:pPr>
        <w:spacing w:after="0"/>
        <w:numPr>
          <w:ilvl w:val="0"/>
          <w:numId w:val="2"/>
        </w:numPr>
      </w:pPr>
      <w:r>
        <w:rPr/>
        <w:t xml:space="preserve">telles que la mode modeste et les voyages conviviaux pour les musulmans.
</w:t>
      </w:r>
    </w:p>
    <w:p>
      <w:pPr>
        <w:spacing w:after="0"/>
        <w:numPr>
          <w:ilvl w:val="0"/>
          <w:numId w:val="2"/>
        </w:numPr>
      </w:pPr>
      <w:r>
        <w:rPr/>
        <w:t xml:space="preserve">Les initiatives et les programmes de développement économique islamique dans différents pays</w:t>
      </w:r>
    </w:p>
    <w:p>
      <w:pPr>
        <w:spacing w:after="0"/>
        <w:numPr>
          <w:ilvl w:val="0"/>
          <w:numId w:val="2"/>
        </w:numPr>
      </w:pPr>
      <w:r>
        <w:rPr/>
        <w:t xml:space="preserve">tels que la stratégie nationale de l'Indonésie pour l'économie islamique.
</w:t>
      </w:r>
    </w:p>
    <w:p>
      <w:pPr>
        <w:spacing w:after="0"/>
        <w:numPr>
          <w:ilvl w:val="0"/>
          <w:numId w:val="2"/>
        </w:numPr>
      </w:pPr>
      <w:r>
        <w:rPr/>
        <w:t xml:space="preserve">Les perspectives et les défis pour l'intégration de l'économie islamique mondiale dans l'économie mondiale plus large</w:t>
      </w:r>
    </w:p>
    <w:p>
      <w:pPr>
        <w:numPr>
          <w:ilvl w:val="0"/>
          <w:numId w:val="2"/>
        </w:numPr>
      </w:pPr>
      <w:r>
        <w:rPr/>
        <w:t xml:space="preserve">y compris les opportunités de partenariat et de collaboration.</w:t>
      </w:r>
    </w:p>
    <w:p>
      <w:pPr>
        <w:pStyle w:val="Heading1"/>
      </w:pPr>
      <w:bookmarkStart w:id="6" w:name="_Toc6"/>
      <w:r>
        <w:t>Report location:</w:t>
      </w:r>
      <w:bookmarkEnd w:id="6"/>
    </w:p>
    <w:p>
      <w:hyperlink r:id="rId8" w:history="1">
        <w:r>
          <w:rPr>
            <w:color w:val="2980b9"/>
            <w:u w:val="single"/>
          </w:rPr>
          <w:t xml:space="preserve">https://www.fullpicture.app/item/129c53d7adbcaf4f788dd20379ee04a1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9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narstandard.com/post/state-of-the-global-islamic-economy-report-2022" TargetMode="External"/><Relationship Id="rId8" Type="http://schemas.openxmlformats.org/officeDocument/2006/relationships/hyperlink" Target="https://www.fullpicture.app/item/129c53d7adbcaf4f788dd20379ee0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2024-02-11T14:06:29+01:00</dcterms:created>
  <dcterms:modified xsi:type="dcterms:W3CDTF">2024-02-11T14:06:29+01:00</dcterms:modified>
</cp:coreProperties>
</file>

<file path=docProps/custom.xml><?xml version="1.0" encoding="utf-8"?>
<Properties xmlns="http://schemas.openxmlformats.org/officeDocument/2006/custom-properties" xmlns:vt="http://schemas.openxmlformats.org/officeDocument/2006/docPropsVTypes"/>
</file>