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在预稀释-稀释后 CVVH 中使用低浓度溶液进行区域柠檬酸盐抗凝 CVVH - PMC</w:t>
      </w:r>
      <w:br/>
      <w:hyperlink r:id="rId7" w:history="1">
        <w:r>
          <w:rPr>
            <w:color w:val="2980b9"/>
            <w:u w:val="single"/>
          </w:rPr>
          <w:t xml:space="preserve">https://www.ncbi.nlm.nih.gov/pmc/articles/PMC3363785/</w:t>
        </w:r>
      </w:hyperlink>
    </w:p>
    <w:p>
      <w:pPr>
        <w:pStyle w:val="Heading1"/>
      </w:pPr>
      <w:bookmarkStart w:id="2" w:name="_Toc2"/>
      <w:r>
        <w:t>Article summary:</w:t>
      </w:r>
      <w:bookmarkEnd w:id="2"/>
    </w:p>
    <w:p>
      <w:pPr>
        <w:jc w:val="both"/>
      </w:pPr>
      <w:r>
        <w:rPr/>
        <w:t xml:space="preserve">1. 本研究评估了在预稀释-稀释后连续静脉血液滤过（CVVH）中使用低浓度柠檬酸盐（Citr）溶液进行区域柠檬酸盐抗凝（RCA-CVVH）的有效性和安全性。</w:t>
      </w:r>
    </w:p>
    <w:p>
      <w:pPr>
        <w:jc w:val="both"/>
      </w:pPr>
      <w:r>
        <w:rPr/>
        <w:t xml:space="preserve">2. 在高出血风险患者中，将无全身抗凝或肝素（Hep）的CRRT改为RCA-CVVH。使用预稀释Citr溶液和后稀释血液滤过溶液进行RCA-CVVH，并通过调整Citr溶液速率和氯化钙输注来维持适当的回路Ca2+浓度。</w:t>
      </w:r>
    </w:p>
    <w:p>
      <w:pPr>
        <w:jc w:val="both"/>
      </w:pPr>
      <w:r>
        <w:rPr/>
        <w:t xml:space="preserve">3. 在RCA-CVVH期间，没有出现出血并发症，并且输血率较低。此外，PLT计数和AT-III活性增加，减少了补充需求。然而，有一例患者因Citr蓄积导致钙血症。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这篇文章的标题是“在预稀释-稀释后 CVVH 中使用低浓度溶液进行区域柠檬酸盐抗凝 CVVH - PMC”。从标题来看，文章主要讨论了在连续静脉血液滤过（CVVH）中使用低浓度柠檬酸盐溶液进行抗凝的有效性和安全性。</w:t>
      </w:r>
    </w:p>
    <w:p>
      <w:pPr>
        <w:jc w:val="both"/>
      </w:pPr>
      <w:r>
        <w:rPr/>
        <w:t xml:space="preserve"/>
      </w:r>
    </w:p>
    <w:p>
      <w:pPr>
        <w:jc w:val="both"/>
      </w:pPr>
      <w:r>
        <w:rPr/>
        <w:t xml:space="preserve">然而，这篇文章存在一些问题和偏见。首先，文章没有提供作者的背景信息或研究机构的介绍，这可能导致读者对作者的资质和研究可信度产生怀疑。此外，文章没有明确说明研究方法和样本选择过程，使得读者无法评估该研究的科学性和代表性。</w:t>
      </w:r>
    </w:p>
    <w:p>
      <w:pPr>
        <w:jc w:val="both"/>
      </w:pPr>
      <w:r>
        <w:rPr/>
        <w:t xml:space="preserve"/>
      </w:r>
    </w:p>
    <w:p>
      <w:pPr>
        <w:jc w:val="both"/>
      </w:pPr>
      <w:r>
        <w:rPr/>
        <w:t xml:space="preserve">另外，文章只提到了使用低浓度柠檬酸盐溶液进行抗凝的优点，并未探讨其潜在风险或副作用。这种片面报道可能会给读者带来误导，并忽略了其他可能存在的问题。</w:t>
      </w:r>
    </w:p>
    <w:p>
      <w:pPr>
        <w:jc w:val="both"/>
      </w:pPr>
      <w:r>
        <w:rPr/>
        <w:t xml:space="preserve"/>
      </w:r>
    </w:p>
    <w:p>
      <w:pPr>
        <w:jc w:val="both"/>
      </w:pPr>
      <w:r>
        <w:rPr/>
        <w:t xml:space="preserve">此外，文章中提到了一些结果数据，如滤波器寿命和输血率等。然而，缺乏对比组或对照组数据以支持所得结论的可靠性。没有提供足够的证据来支持使用低浓度柠檬酸盐溶液进行抗凝的优势。</w:t>
      </w:r>
    </w:p>
    <w:p>
      <w:pPr>
        <w:jc w:val="both"/>
      </w:pPr>
      <w:r>
        <w:rPr/>
        <w:t xml:space="preserve"/>
      </w:r>
    </w:p>
    <w:p>
      <w:pPr>
        <w:jc w:val="both"/>
      </w:pPr>
      <w:r>
        <w:rPr/>
        <w:t xml:space="preserve">文章还存在一些缺失的考虑点，比如没有讨论其他可能的抗凝方法或药物，并未探索使用低浓度柠檬酸盐溶液进行抗凝的长期效果和安全性。</w:t>
      </w:r>
    </w:p>
    <w:p>
      <w:pPr>
        <w:jc w:val="both"/>
      </w:pPr>
      <w:r>
        <w:rPr/>
        <w:t xml:space="preserve"/>
      </w:r>
    </w:p>
    <w:p>
      <w:pPr>
        <w:jc w:val="both"/>
      </w:pPr>
      <w:r>
        <w:rPr/>
        <w:t xml:space="preserve">此外，文章中也没有提到任何潜在的偏见或利益冲突。作者是否有与柠檬酸盐溶液相关的商业关系或利益冲突并未明确说明，这可能会影响对研究结果的解释和评估。</w:t>
      </w:r>
    </w:p>
    <w:p>
      <w:pPr>
        <w:jc w:val="both"/>
      </w:pPr>
      <w:r>
        <w:rPr/>
        <w:t xml:space="preserve"/>
      </w:r>
    </w:p>
    <w:p>
      <w:pPr>
        <w:jc w:val="both"/>
      </w:pPr>
      <w:r>
        <w:rPr/>
        <w:t xml:space="preserve">总体而言，这篇文章存在一些问题和偏见，包括片面报道、缺乏对比组数据、未探索其他可能的风险和副作用等。读者应该保持批判思维，并寻找更多可靠的证据来评估使用低浓度柠檬酸盐溶液进行抗凝的有效性和安全性。</w:t>
      </w:r>
    </w:p>
    <w:p>
      <w:pPr>
        <w:pStyle w:val="Heading1"/>
      </w:pPr>
      <w:bookmarkStart w:id="5" w:name="_Toc5"/>
      <w:r>
        <w:t>Topics for further research:</w:t>
      </w:r>
      <w:bookmarkEnd w:id="5"/>
    </w:p>
    <w:p>
      <w:pPr>
        <w:spacing w:after="0"/>
        <w:numPr>
          <w:ilvl w:val="0"/>
          <w:numId w:val="2"/>
        </w:numPr>
      </w:pPr>
      <w:r>
        <w:rPr/>
        <w:t xml:space="preserve">低浓度柠檬酸盐溶液抗凝的风险和副作用
</w:t>
      </w:r>
    </w:p>
    <w:p>
      <w:pPr>
        <w:spacing w:after="0"/>
        <w:numPr>
          <w:ilvl w:val="0"/>
          <w:numId w:val="2"/>
        </w:numPr>
      </w:pPr>
      <w:r>
        <w:rPr/>
        <w:t xml:space="preserve">其他可能的抗凝方法或药物
</w:t>
      </w:r>
    </w:p>
    <w:p>
      <w:pPr>
        <w:spacing w:after="0"/>
        <w:numPr>
          <w:ilvl w:val="0"/>
          <w:numId w:val="2"/>
        </w:numPr>
      </w:pPr>
      <w:r>
        <w:rPr/>
        <w:t xml:space="preserve">长期使用低浓度柠檬酸盐溶液抗凝的效果和安全性
</w:t>
      </w:r>
    </w:p>
    <w:p>
      <w:pPr>
        <w:spacing w:after="0"/>
        <w:numPr>
          <w:ilvl w:val="0"/>
          <w:numId w:val="2"/>
        </w:numPr>
      </w:pPr>
      <w:r>
        <w:rPr/>
        <w:t xml:space="preserve">作者的背景信息和研究机构介绍
</w:t>
      </w:r>
    </w:p>
    <w:p>
      <w:pPr>
        <w:spacing w:after="0"/>
        <w:numPr>
          <w:ilvl w:val="0"/>
          <w:numId w:val="2"/>
        </w:numPr>
      </w:pPr>
      <w:r>
        <w:rPr/>
        <w:t xml:space="preserve">研究方法和样本选择过程
</w:t>
      </w:r>
    </w:p>
    <w:p>
      <w:pPr>
        <w:numPr>
          <w:ilvl w:val="0"/>
          <w:numId w:val="2"/>
        </w:numPr>
      </w:pPr>
      <w:r>
        <w:rPr/>
        <w:t xml:space="preserve">潜在的偏见或利益冲突</w:t>
      </w:r>
    </w:p>
    <w:p>
      <w:pPr>
        <w:pStyle w:val="Heading1"/>
      </w:pPr>
      <w:bookmarkStart w:id="6" w:name="_Toc6"/>
      <w:r>
        <w:t>Report location:</w:t>
      </w:r>
      <w:bookmarkEnd w:id="6"/>
    </w:p>
    <w:p>
      <w:hyperlink r:id="rId8" w:history="1">
        <w:r>
          <w:rPr>
            <w:color w:val="2980b9"/>
            <w:u w:val="single"/>
          </w:rPr>
          <w:t xml:space="preserve">https://www.fullpicture.app/item/134c2b167963be05427e5bcfd7ccf933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322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363785/" TargetMode="External"/><Relationship Id="rId8" Type="http://schemas.openxmlformats.org/officeDocument/2006/relationships/hyperlink" Target="https://www.fullpicture.app/item/134c2b167963be05427e5bcfd7ccf9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2024-07-09T12:55:57+02:00</dcterms:created>
  <dcterms:modified xsi:type="dcterms:W3CDTF">2024-07-09T12:55:57+02:00</dcterms:modified>
</cp:coreProperties>
</file>

<file path=docProps/custom.xml><?xml version="1.0" encoding="utf-8"?>
<Properties xmlns="http://schemas.openxmlformats.org/officeDocument/2006/custom-properties" xmlns:vt="http://schemas.openxmlformats.org/officeDocument/2006/docPropsVTypes"/>
</file>