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ARGs-OAP: online analysis pipeline for antibiotic resistance genes detection from metagenomic data using an integrated structured ARG-database | Bioinformatics | Oxford Academic</w:t>
      </w:r>
      <w:br/>
      <w:hyperlink r:id="rId7" w:history="1">
        <w:r>
          <w:rPr>
            <w:color w:val="2980b9"/>
            <w:u w:val="single"/>
          </w:rPr>
          <w:t xml:space="preserve">https://academic.oup.com/bioinformatics/article/32/15/2346/1743463</w:t>
        </w:r>
      </w:hyperlink>
    </w:p>
    <w:p>
      <w:pPr>
        <w:pStyle w:val="Heading1"/>
      </w:pPr>
      <w:bookmarkStart w:id="2" w:name="_Toc2"/>
      <w:r>
        <w:t>Article summary:</w:t>
      </w:r>
      <w:bookmarkEnd w:id="2"/>
    </w:p>
    <w:p>
      <w:pPr>
        <w:jc w:val="both"/>
      </w:pPr>
      <w:r>
        <w:rPr/>
        <w:t xml:space="preserve">1. Antibiotic resistance genes (ARGs) are an increasing concern for public health, and metagenomics approaches can detect them in environmental samples.</w:t>
      </w:r>
    </w:p>
    <w:p>
      <w:pPr>
        <w:jc w:val="both"/>
      </w:pPr>
      <w:r>
        <w:rPr/>
        <w:t xml:space="preserve">2. A Structured ARG reference database (SARG) was constructed by integrating ARDB and CARD, and an online pipeline called ARGs-OAP was developed to facilitate the analysis of ARG sequences from metagenomic data.</w:t>
      </w:r>
    </w:p>
    <w:p>
      <w:pPr>
        <w:jc w:val="both"/>
      </w:pPr>
      <w:r>
        <w:rPr/>
        <w:t xml:space="preserve">3. The similarity search method was evaluated using Swiss-Prot sequences, and the effectiveness of the method was measured using Matthews Correlation Coefficient (MCC).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development of an online analysis pipeline for antibiotic resistance genes detection from metagenomic data using an integrated structured ARG-database. The authors have provided detailed information on the construction and validation of SARG, as well as the evaluation of similarity search method in ARG detection. The article is well written and provides sufficient evidence to support its claims.</w:t>
      </w:r>
    </w:p>
    <w:p>
      <w:pPr>
        <w:jc w:val="both"/>
      </w:pPr>
      <w:r>
        <w:rPr/>
        <w:t xml:space="preserve">However, there are some potential biases that should be noted. Firstly, the authors have not discussed any possible risks associated with their proposed methods or any potential implications for public health. Secondly, they have not explored any counterarguments or alternative approaches to their proposed methods. Thirdly, they have not presented both sides equally; instead they have focused mainly on their own approach without providing sufficient information on other existing methods or approaches that could be used for similar purposes. Finally, there is a lack of discussion on how their proposed methods could be applied in practice or how it could benefit public health in general. </w:t>
      </w:r>
    </w:p>
    <w:p>
      <w:pPr>
        <w:jc w:val="both"/>
      </w:pPr>
      <w:r>
        <w:rPr/>
        <w:t xml:space="preserve">In conclusion, while this article provides a comprehensive overview of the development of an online analysis pipeline for antibiotic resistance genes detection from metagenomic data using an integrated structured ARG-database, there are some potential biases that should be noted such as lack of discussion on possible risks associated with their proposed methods or any potential implications for public health, lack of exploration into counterarguments or alternative approaches to their proposed methods, lack of presentation both sides equally and lack of discussion on how their proposed methods could be applied in practice or how it could benefit public health in general.</w:t>
      </w:r>
    </w:p>
    <w:p>
      <w:pPr>
        <w:pStyle w:val="Heading1"/>
      </w:pPr>
      <w:bookmarkStart w:id="5" w:name="_Toc5"/>
      <w:r>
        <w:t>Topics for further research:</w:t>
      </w:r>
      <w:bookmarkEnd w:id="5"/>
    </w:p>
    <w:p>
      <w:pPr>
        <w:spacing w:after="0"/>
        <w:numPr>
          <w:ilvl w:val="0"/>
          <w:numId w:val="2"/>
        </w:numPr>
      </w:pPr>
      <w:r>
        <w:rPr/>
        <w:t xml:space="preserve">Antibiotic resistance gene detection risks</w:t>
      </w:r>
    </w:p>
    <w:p>
      <w:pPr>
        <w:spacing w:after="0"/>
        <w:numPr>
          <w:ilvl w:val="0"/>
          <w:numId w:val="2"/>
        </w:numPr>
      </w:pPr>
      <w:r>
        <w:rPr/>
        <w:t xml:space="preserve">Alternative approaches to antibiotic resistance gene detection</w:t>
      </w:r>
    </w:p>
    <w:p>
      <w:pPr>
        <w:spacing w:after="0"/>
        <w:numPr>
          <w:ilvl w:val="0"/>
          <w:numId w:val="2"/>
        </w:numPr>
      </w:pPr>
      <w:r>
        <w:rPr/>
        <w:t xml:space="preserve">Public health implications of antibiotic resistance gene detection</w:t>
      </w:r>
    </w:p>
    <w:p>
      <w:pPr>
        <w:spacing w:after="0"/>
        <w:numPr>
          <w:ilvl w:val="0"/>
          <w:numId w:val="2"/>
        </w:numPr>
      </w:pPr>
      <w:r>
        <w:rPr/>
        <w:t xml:space="preserve">Practical applications of antibiotic resistance gene detection</w:t>
      </w:r>
    </w:p>
    <w:p>
      <w:pPr>
        <w:spacing w:after="0"/>
        <w:numPr>
          <w:ilvl w:val="0"/>
          <w:numId w:val="2"/>
        </w:numPr>
      </w:pPr>
      <w:r>
        <w:rPr/>
        <w:t xml:space="preserve">Benefits of antibiotic resistance gene detection</w:t>
      </w:r>
    </w:p>
    <w:p>
      <w:pPr>
        <w:numPr>
          <w:ilvl w:val="0"/>
          <w:numId w:val="2"/>
        </w:numPr>
      </w:pPr>
      <w:r>
        <w:rPr/>
        <w:t xml:space="preserve">Comparison of existing methods for antibiotic resistance gene detection</w:t>
      </w:r>
    </w:p>
    <w:p>
      <w:pPr>
        <w:pStyle w:val="Heading1"/>
      </w:pPr>
      <w:bookmarkStart w:id="6" w:name="_Toc6"/>
      <w:r>
        <w:t>Report location:</w:t>
      </w:r>
      <w:bookmarkEnd w:id="6"/>
    </w:p>
    <w:p>
      <w:hyperlink r:id="rId8" w:history="1">
        <w:r>
          <w:rPr>
            <w:color w:val="2980b9"/>
            <w:u w:val="single"/>
          </w:rPr>
          <w:t xml:space="preserve">https://www.fullpicture.app/item/1384dcc422ca77785bdbd88879ad5171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F84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bioinformatics/article/32/15/2346/1743463" TargetMode="External"/><Relationship Id="rId8" Type="http://schemas.openxmlformats.org/officeDocument/2006/relationships/hyperlink" Target="https://www.fullpicture.app/item/1384dcc422ca77785bdbd88879ad51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2023-02-25T15:39:27+01:00</dcterms:created>
  <dcterms:modified xsi:type="dcterms:W3CDTF">2023-02-25T15:39:27+01:00</dcterms:modified>
</cp:coreProperties>
</file>

<file path=docProps/custom.xml><?xml version="1.0" encoding="utf-8"?>
<Properties xmlns="http://schemas.openxmlformats.org/officeDocument/2006/custom-properties" xmlns:vt="http://schemas.openxmlformats.org/officeDocument/2006/docPropsVTypes"/>
</file>