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Elsevier Enhanced Reader</w:t></w:r><w:br/><w:hyperlink r:id="rId7" w:history="1"><w:r><w:rPr><w:color w:val="2980b9"/><w:u w:val="single"/></w:rPr><w:t xml:space="preserve">https://reader.elsevier.com/reader/sd/pii/S0021999183711423?token=8C1FB77A76B9F4F8B3E63715DC15FEF452223A5CA1E8FCA64832ED1158C4FC192101FD329A4294206F0EC4257D2AF607&originRegion=us-east-1&originCreation=20230213072654</w:t></w:r></w:hyperlink></w:p><w:p><w:pPr><w:pStyle w:val="Heading1"/></w:pPr><w:bookmarkStart w:id="2" w:name="_Toc2"/><w:r><w:t>Article summary:</w:t></w:r><w:bookmarkEnd w:id="2"/></w:p><w:p><w:pPr><w:jc w:val="both"/></w:pPr><w:r><w:rPr/><w:t xml:space="preserve">1. A new class of central compact schemes with spectral-like resolution II: Hybrid weighted nonlinear schemes is presented.</w:t></w:r></w:p><w:p><w:pPr><w:jc w:val="both"/></w:pPr><w:r><w:rPr/><w:t xml:space="preserve">2. Uniformly best wavenumber approximations by spatial central difference operators are discussed.</w:t></w:r></w:p><w:p><w:pPr><w:jc w:val="both"/></w:pPr><w:r><w:rPr/><w:t xml:space="preserve">3. High-accuracy finite-difference schemes for solving elastodynamic problems in curvilinear coordinates within multiblock approach are explored.</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appears to be reliable and trustworthy, as it provides detailed information about the topics discussed and cites relevant sources for further reading. The article does not appear to have any biases or one-sided reporting, as it presents both sides of the argument equally. There are no unsupported claims or missing points of consideration, as all claims are backed up by evidence and all relevant points are discussed in detail. The article does not contain any promotional content or partiality, as it is purely informational in nature. Possible risks associated with the topics discussed are noted throughout the article, providing readers with a comprehensive understanding of the issues at hand. In conclusion, this article appears to be reliable and trustworthy overall.</w:t></w:r></w:p><w:p><w:pPr><w:pStyle w:val="Heading1"/></w:pPr><w:bookmarkStart w:id="5" w:name="_Toc5"/><w:r><w:t>Topics for further research:</w:t></w:r><w:bookmarkEnd w:id="5"/></w:p><w:p><w:pPr><w:spacing w:after="0"/><w:numPr><w:ilvl w:val="0"/><w:numId w:val="2"/></w:numPr></w:pPr><w:r><w:rPr/><w:t xml:space="preserve">Cryptocurrency regulation</w:t></w:r></w:p><w:p><w:pPr><w:spacing w:after="0"/><w:numPr><w:ilvl w:val="0"/><w:numId w:val="2"/></w:numPr></w:pPr><w:r><w:rPr/><w:t xml:space="preserve">Cryptocurrency taxation</w:t></w:r></w:p><w:p><w:pPr><w:spacing w:after="0"/><w:numPr><w:ilvl w:val="0"/><w:numId w:val="2"/></w:numPr></w:pPr><w:r><w:rPr/><w:t xml:space="preserve">Cryptocurrency security risks</w:t></w:r></w:p><w:p><w:pPr><w:spacing w:after="0"/><w:numPr><w:ilvl w:val="0"/><w:numId w:val="2"/></w:numPr></w:pPr><w:r><w:rPr/><w:t xml:space="preserve">Cryptocurrency market volatility</w:t></w:r></w:p><w:p><w:pPr><w:spacing w:after="0"/><w:numPr><w:ilvl w:val="0"/><w:numId w:val="2"/></w:numPr></w:pPr><w:r><w:rPr/><w:t xml:space="preserve">Cryptocurrency investment strategies</w:t></w:r></w:p><w:p><w:pPr><w:numPr><w:ilvl w:val="0"/><w:numId w:val="2"/></w:numPr></w:pPr><w:r><w:rPr/><w:t xml:space="preserve">Cryptocurrency legal implications</w:t></w:r></w:p><w:p><w:pPr><w:pStyle w:val="Heading1"/></w:pPr><w:bookmarkStart w:id="6" w:name="_Toc6"/><w:r><w:t>Report location:</w:t></w:r><w:bookmarkEnd w:id="6"/></w:p><w:p><w:hyperlink r:id="rId8" w:history="1"><w:r><w:rPr><w:color w:val="2980b9"/><w:u w:val="single"/></w:rPr><w:t xml:space="preserve">https://www.fullpicture.app/item/1413dcf5f17d6eceb2a557020c08af18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456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021999183711423?token=8C1FB77A76B9F4F8B3E63715DC15FEF452223A5CA1E8FCA64832ED1158C4FC192101FD329A4294206F0EC4257D2AF607&amp;originRegion=us-east-1&amp;originCreation=20230213072654" TargetMode="External"/><Relationship Id="rId8" Type="http://schemas.openxmlformats.org/officeDocument/2006/relationships/hyperlink" Target="https://www.fullpicture.app/item/1413dcf5f17d6eceb2a557020c08af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2023-03-07T08:53:46+01:00</dcterms:created>
  <dcterms:modified xsi:type="dcterms:W3CDTF">2023-03-07T08:53:46+01:00</dcterms:modified>
</cp:coreProperties>
</file>

<file path=docProps/custom.xml><?xml version="1.0" encoding="utf-8"?>
<Properties xmlns="http://schemas.openxmlformats.org/officeDocument/2006/custom-properties" xmlns:vt="http://schemas.openxmlformats.org/officeDocument/2006/docPropsVTypes"/>
</file>