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Mucosal and systemic neutralizing antibodies to norovirus induced in infant mice orally inoculated with recombinant rotaviruses - PMC</w:t>
      </w:r>
      <w:br/>
      <w:hyperlink r:id="rId7" w:history="1">
        <w:r>
          <w:rPr>
            <w:color w:val="2980b9"/>
            <w:u w:val="single"/>
          </w:rPr>
          <w:t xml:space="preserve">https://www.ncbi.nlm.nih.gov/pmc/articles/PMC9992845/</w:t>
        </w:r>
      </w:hyperlink>
    </w:p>
    <w:p>
      <w:pPr>
        <w:pStyle w:val="Heading1"/>
      </w:pPr>
      <w:bookmarkStart w:id="2" w:name="_Toc2"/>
      <w:r>
        <w:t>Article summary:</w:t>
      </w:r>
      <w:bookmarkEnd w:id="2"/>
    </w:p>
    <w:p>
      <w:pPr>
        <w:jc w:val="both"/>
      </w:pPr>
      <w:r>
        <w:rPr/>
        <w:t xml:space="preserve">1. 通过口服接种重组轮状病毒，婴儿小鼠产生了对诺如病毒的黏膜和全身中和抗体。</w:t>
      </w:r>
    </w:p>
    <w:p>
      <w:pPr>
        <w:jc w:val="both"/>
      </w:pPr>
      <w:r>
        <w:rPr/>
        <w:t xml:space="preserve">2. 研究表明，使用轮状病毒作为双重肠道疫苗平台，可以诱导对轮状病毒和诺如病毒的系统和黏膜抗体反应。</w:t>
      </w:r>
    </w:p>
    <w:p>
      <w:pPr>
        <w:jc w:val="both"/>
      </w:pPr>
      <w:r>
        <w:rPr/>
        <w:t xml:space="preserve">3. 这些发现证实了使用轮状病毒作为肠道疫苗平台的潜力，用于其他重要的人类肠道致病菌。</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这篇文章的标题是"Mucosal and systemic neutralizing antibodies to norovirus induced in infant mice orally inoculated with recombinant rotaviruses"，它描述了通过口服接种重组轮状病毒诱导婴儿小鼠产生黏膜和全身中和抗体对诺如病毒的免疫反应。</w:t>
      </w:r>
    </w:p>
    <w:p>
      <w:pPr>
        <w:jc w:val="both"/>
      </w:pPr>
      <w:r>
        <w:rPr/>
        <w:t xml:space="preserve"/>
      </w:r>
    </w:p>
    <w:p>
      <w:pPr>
        <w:jc w:val="both"/>
      </w:pPr>
      <w:r>
        <w:rPr/>
        <w:t xml:space="preserve">首先，这篇文章可能存在潜在的偏见。由于作者没有提供任何与该研究相关的潜在利益冲突声明，我们无法确定是否存在任何可能影响结果或结论的利益关系。</w:t>
      </w:r>
    </w:p>
    <w:p>
      <w:pPr>
        <w:jc w:val="both"/>
      </w:pPr>
      <w:r>
        <w:rPr/>
        <w:t xml:space="preserve"/>
      </w:r>
    </w:p>
    <w:p>
      <w:pPr>
        <w:jc w:val="both"/>
      </w:pPr>
      <w:r>
        <w:rPr/>
        <w:t xml:space="preserve">其次，这篇文章可能存在片面报道。文章主要关注通过重组轮状病毒诱导免疫反应的效果，但并未探讨其他潜在方法或策略。因此，读者可能会得出认为这种方法是唯一有效的结论。</w:t>
      </w:r>
    </w:p>
    <w:p>
      <w:pPr>
        <w:jc w:val="both"/>
      </w:pPr>
      <w:r>
        <w:rPr/>
        <w:t xml:space="preserve"/>
      </w:r>
    </w:p>
    <w:p>
      <w:pPr>
        <w:jc w:val="both"/>
      </w:pPr>
      <w:r>
        <w:rPr/>
        <w:t xml:space="preserve">此外，这篇文章提出了一些无根据的主张。例如，在摘要部分中，作者声称这些免疫反应很可能作为保护性指标。然而，并没有提供足够的证据来支持这个主张。</w:t>
      </w:r>
    </w:p>
    <w:p>
      <w:pPr>
        <w:jc w:val="both"/>
      </w:pPr>
      <w:r>
        <w:rPr/>
        <w:t xml:space="preserve"/>
      </w:r>
    </w:p>
    <w:p>
      <w:pPr>
        <w:jc w:val="both"/>
      </w:pPr>
      <w:r>
        <w:rPr/>
        <w:t xml:space="preserve">另外，这篇文章缺乏一些重要考虑点。例如，在讨论部分中，并未探讨使用重组轮状病毒作为免疫向量的潜在风险或副作用。这是一个重要的问题，因为使用活病毒作为免疫向量可能会引起不良反应或感染。</w:t>
      </w:r>
    </w:p>
    <w:p>
      <w:pPr>
        <w:jc w:val="both"/>
      </w:pPr>
      <w:r>
        <w:rPr/>
        <w:t xml:space="preserve"/>
      </w:r>
    </w:p>
    <w:p>
      <w:pPr>
        <w:jc w:val="both"/>
      </w:pPr>
      <w:r>
        <w:rPr/>
        <w:t xml:space="preserve">此外，这篇文章没有提供足够的证据来支持其提出的主张。虽然作者声称通过口服接种重组轮状病毒可以诱导对诺如病毒的免疫反应，但并未提供详细的实验结果或数据来支持这个主张。</w:t>
      </w:r>
    </w:p>
    <w:p>
      <w:pPr>
        <w:jc w:val="both"/>
      </w:pPr>
      <w:r>
        <w:rPr/>
        <w:t xml:space="preserve"/>
      </w:r>
    </w:p>
    <w:p>
      <w:pPr>
        <w:jc w:val="both"/>
      </w:pPr>
      <w:r>
        <w:rPr/>
        <w:t xml:space="preserve">最后，这篇文章没有探索任何可能的反驳观点。它只关注了通过重组轮状病毒诱导免疫反应的效果，而没有讨论其他可能存在的方法或策略。</w:t>
      </w:r>
    </w:p>
    <w:p>
      <w:pPr>
        <w:jc w:val="both"/>
      </w:pPr>
      <w:r>
        <w:rPr/>
        <w:t xml:space="preserve"/>
      </w:r>
    </w:p>
    <w:p>
      <w:pPr>
        <w:jc w:val="both"/>
      </w:pPr>
      <w:r>
        <w:rPr/>
        <w:t xml:space="preserve">总之，这篇文章存在一些问题，包括潜在偏见、片面报道、无根据的主张、缺失考虑点、缺乏证据支持和未探索反驳观点等。读者需要谨慎对待其中提出的结论，并进一步进行深入调查和分析。</w:t>
      </w:r>
    </w:p>
    <w:p>
      <w:pPr>
        <w:pStyle w:val="Heading1"/>
      </w:pPr>
      <w:bookmarkStart w:id="5" w:name="_Toc5"/>
      <w:r>
        <w:t>Topics for further research:</w:t>
      </w:r>
      <w:bookmarkEnd w:id="5"/>
    </w:p>
    <w:p>
      <w:pPr>
        <w:spacing w:after="0"/>
        <w:numPr>
          <w:ilvl w:val="0"/>
          <w:numId w:val="2"/>
        </w:numPr>
      </w:pPr>
      <w:r>
        <w:rPr/>
        <w:t xml:space="preserve">免疫反应的其他方法或策略
</w:t>
      </w:r>
    </w:p>
    <w:p>
      <w:pPr>
        <w:spacing w:after="0"/>
        <w:numPr>
          <w:ilvl w:val="0"/>
          <w:numId w:val="2"/>
        </w:numPr>
      </w:pPr>
      <w:r>
        <w:rPr/>
        <w:t xml:space="preserve">重组轮状病毒作为免疫向量的潜在风险或副作用
</w:t>
      </w:r>
    </w:p>
    <w:p>
      <w:pPr>
        <w:spacing w:after="0"/>
        <w:numPr>
          <w:ilvl w:val="0"/>
          <w:numId w:val="2"/>
        </w:numPr>
      </w:pPr>
      <w:r>
        <w:rPr/>
        <w:t xml:space="preserve">通过口服接种重组轮状病毒诱导免疫反应的实验结果或数据
</w:t>
      </w:r>
    </w:p>
    <w:p>
      <w:pPr>
        <w:spacing w:after="0"/>
        <w:numPr>
          <w:ilvl w:val="0"/>
          <w:numId w:val="2"/>
        </w:numPr>
      </w:pPr>
      <w:r>
        <w:rPr/>
        <w:t xml:space="preserve">免疫反应是否作为保护性指标的证据
</w:t>
      </w:r>
    </w:p>
    <w:p>
      <w:pPr>
        <w:spacing w:after="0"/>
        <w:numPr>
          <w:ilvl w:val="0"/>
          <w:numId w:val="2"/>
        </w:numPr>
      </w:pPr>
      <w:r>
        <w:rPr/>
        <w:t xml:space="preserve">重组轮状病毒诱导免疫反应的有效性与其他方法的比较
</w:t>
      </w:r>
    </w:p>
    <w:p>
      <w:pPr>
        <w:numPr>
          <w:ilvl w:val="0"/>
          <w:numId w:val="2"/>
        </w:numPr>
      </w:pPr>
      <w:r>
        <w:rPr/>
        <w:t xml:space="preserve">反驳观点中可能存在的其他方法或策略</w:t>
      </w:r>
    </w:p>
    <w:p>
      <w:pPr>
        <w:pStyle w:val="Heading1"/>
      </w:pPr>
      <w:bookmarkStart w:id="6" w:name="_Toc6"/>
      <w:r>
        <w:t>Report location:</w:t>
      </w:r>
      <w:bookmarkEnd w:id="6"/>
    </w:p>
    <w:p>
      <w:hyperlink r:id="rId8" w:history="1">
        <w:r>
          <w:rPr>
            <w:color w:val="2980b9"/>
            <w:u w:val="single"/>
          </w:rPr>
          <w:t xml:space="preserve">https://www.fullpicture.app/item/142a99fd474532619d3f6dd889045224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48B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992845/" TargetMode="External"/><Relationship Id="rId8" Type="http://schemas.openxmlformats.org/officeDocument/2006/relationships/hyperlink" Target="https://www.fullpicture.app/item/142a99fd474532619d3f6dd8890452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2024-04-18T19:33:30+02:00</dcterms:created>
  <dcterms:modified xsi:type="dcterms:W3CDTF">2024-04-18T19:33:30+02:00</dcterms:modified>
</cp:coreProperties>
</file>

<file path=docProps/custom.xml><?xml version="1.0" encoding="utf-8"?>
<Properties xmlns="http://schemas.openxmlformats.org/officeDocument/2006/custom-properties" xmlns:vt="http://schemas.openxmlformats.org/officeDocument/2006/docPropsVTypes"/>
</file>