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Lithiated metallic molybdenum disulfide nanosheets for high-performance lithium–sulfur batteries | Nature Energy</w:t>
      </w:r>
      <w:br/>
      <w:hyperlink r:id="rId7" w:history="1">
        <w:r>
          <w:rPr>
            <w:color w:val="2980b9"/>
            <w:u w:val="single"/>
          </w:rPr>
          <w:t xml:space="preserve">https://www.nature.com/articles/s41560-022-01175-7</w:t>
        </w:r>
      </w:hyperlink>
    </w:p>
    <w:p>
      <w:pPr>
        <w:pStyle w:val="Heading1"/>
      </w:pPr>
      <w:bookmarkStart w:id="2" w:name="_Toc2"/>
      <w:r>
        <w:t>Article summary:</w:t>
      </w:r>
      <w:bookmarkEnd w:id="2"/>
    </w:p>
    <w:p>
      <w:pPr>
        <w:jc w:val="both"/>
      </w:pPr>
      <w:r>
        <w:rPr/>
        <w:t xml:space="preserve">1. Li–S batteries are based on conversion reactions that can overcome the limitations of insertion-oxide cathodes and graphite anodes in lithium-ion batteries.</w:t>
      </w:r>
    </w:p>
    <w:p>
      <w:pPr>
        <w:jc w:val="both"/>
      </w:pPr>
      <w:r>
        <w:rPr/>
        <w:t xml:space="preserve">2. Lithiated metallic 1T phase molybdenum disulfide (LixMoS2) nanosheets have been used as binder-free conducting cathodes for hosting sulfur, leading to high-performance Li–S batteries with areal capacities of 8.21 mAh cm−2 and capacity retention in excess of 85% over 200 cycles.</w:t>
      </w:r>
    </w:p>
    <w:p>
      <w:pPr>
        <w:jc w:val="both"/>
      </w:pPr>
      <w:r>
        <w:rPr/>
        <w:t xml:space="preserve">3. Structural and electrochemical characterization of LixMoS2 shows a compact laminar structure with densely stacked nanosheets, transformation from the semiconducting to the metallic phase, and ~85% concentration of the metallic 1T phase in lithiated samples.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overview of how lithiated metallic molybdenum disulfide nanosheets can be used for high-performance lithium–sulfur batteries. The article is well written and provides clear explanations of the various processes involved in creating these batteries, as well as providing evidence for their effectiveness through structural and electrochemical characterization results. The article also provides a comprehensive overview of the advantages that these batteries offer over traditional lithium-ion batteries, such as higher energy density and improved ionic transport due to increased electrolyte viscosity at low E/S ratios. </w:t>
      </w:r>
    </w:p>
    <w:p>
      <w:pPr>
        <w:jc w:val="both"/>
      </w:pPr>
      <w:r>
        <w:rPr/>
        <w:t xml:space="preserve">The article does not appear to contain any biases or one-sided reporting, as it presents both sides of the argument fairly and objectively. It also does not contain any unsupported claims or missing points of consideration; all claims made are backed up by evidence from experiments conducted by both the authors themselves and other researchers in the field. Furthermore, there is no promotional content or partiality present in this article; it is purely focused on providing an objective overview of how lithiated metallic molybdenum disulfide nanosheets can be used for high-performance lithium–sulfur batteries. Finally, possible risks associated with using these types of batteries are noted throughout the article, ensuring that readers are aware of any potential issues they may encounter when using them. </w:t>
      </w:r>
    </w:p>
    <w:p>
      <w:pPr>
        <w:jc w:val="both"/>
      </w:pPr>
      <w:r>
        <w:rPr/>
        <w:t xml:space="preserve">In conclusion, this article appears to be trustworthy and reliable; it provides a comprehensive overview of how lithiated metallic molybdenum disulfide nanosheets can be used for high-performance lithium–sulfur batteries without containing any biases or unsupported claims.</w:t>
      </w:r>
    </w:p>
    <w:p>
      <w:pPr>
        <w:pStyle w:val="Heading1"/>
      </w:pPr>
      <w:bookmarkStart w:id="5" w:name="_Toc5"/>
      <w:r>
        <w:t>Topics for further research:</w:t>
      </w:r>
      <w:bookmarkEnd w:id="5"/>
    </w:p>
    <w:p>
      <w:pPr>
        <w:spacing w:after="0"/>
        <w:numPr>
          <w:ilvl w:val="0"/>
          <w:numId w:val="2"/>
        </w:numPr>
      </w:pPr>
      <w:r>
        <w:rPr/>
        <w:t xml:space="preserve">Lithium-sulfur battery performance</w:t>
      </w:r>
    </w:p>
    <w:p>
      <w:pPr>
        <w:spacing w:after="0"/>
        <w:numPr>
          <w:ilvl w:val="0"/>
          <w:numId w:val="2"/>
        </w:numPr>
      </w:pPr>
      <w:r>
        <w:rPr/>
        <w:t xml:space="preserve">Lithium-sulfur battery safety</w:t>
      </w:r>
    </w:p>
    <w:p>
      <w:pPr>
        <w:spacing w:after="0"/>
        <w:numPr>
          <w:ilvl w:val="0"/>
          <w:numId w:val="2"/>
        </w:numPr>
      </w:pPr>
      <w:r>
        <w:rPr/>
        <w:t xml:space="preserve">Lithium-sulfur battery cost</w:t>
      </w:r>
    </w:p>
    <w:p>
      <w:pPr>
        <w:spacing w:after="0"/>
        <w:numPr>
          <w:ilvl w:val="0"/>
          <w:numId w:val="2"/>
        </w:numPr>
      </w:pPr>
      <w:r>
        <w:rPr/>
        <w:t xml:space="preserve">Lithium-sulfur battery life cycle</w:t>
      </w:r>
    </w:p>
    <w:p>
      <w:pPr>
        <w:spacing w:after="0"/>
        <w:numPr>
          <w:ilvl w:val="0"/>
          <w:numId w:val="2"/>
        </w:numPr>
      </w:pPr>
      <w:r>
        <w:rPr/>
        <w:t xml:space="preserve">Lithium-sulfur battery recycling</w:t>
      </w:r>
    </w:p>
    <w:p>
      <w:pPr>
        <w:numPr>
          <w:ilvl w:val="0"/>
          <w:numId w:val="2"/>
        </w:numPr>
      </w:pPr>
      <w:r>
        <w:rPr/>
        <w:t xml:space="preserve">Lithium-sulfur battery applications</w:t>
      </w:r>
    </w:p>
    <w:p>
      <w:pPr>
        <w:pStyle w:val="Heading1"/>
      </w:pPr>
      <w:bookmarkStart w:id="6" w:name="_Toc6"/>
      <w:r>
        <w:t>Report location:</w:t>
      </w:r>
      <w:bookmarkEnd w:id="6"/>
    </w:p>
    <w:p>
      <w:hyperlink r:id="rId8" w:history="1">
        <w:r>
          <w:rPr>
            <w:color w:val="2980b9"/>
            <w:u w:val="single"/>
          </w:rPr>
          <w:t xml:space="preserve">https://www.fullpicture.app/item/142f1b5faff3ba2a18568d5c65e2133e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B80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0-022-01175-7" TargetMode="External"/><Relationship Id="rId8" Type="http://schemas.openxmlformats.org/officeDocument/2006/relationships/hyperlink" Target="https://www.fullpicture.app/item/142f1b5faff3ba2a18568d5c65e213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2023-02-24T01:07:11+01:00</dcterms:created>
  <dcterms:modified xsi:type="dcterms:W3CDTF">2023-02-24T01:07:11+01:00</dcterms:modified>
</cp:coreProperties>
</file>

<file path=docProps/custom.xml><?xml version="1.0" encoding="utf-8"?>
<Properties xmlns="http://schemas.openxmlformats.org/officeDocument/2006/custom-properties" xmlns:vt="http://schemas.openxmlformats.org/officeDocument/2006/docPropsVTypes"/>
</file>