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武汉大学黄卫华课题组</w:t>
      </w:r>
      <w:br/>
      <w:hyperlink r:id="rId7" w:history="1">
        <w:r>
          <w:rPr>
            <w:color w:val="2980b9"/>
            <w:u w:val="single"/>
          </w:rPr>
          <w:t xml:space="preserve">http://huanglab.whu.edu.cn/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循环肿瘤细胞（CTCs）是从癌症肿瘤中脱落并进入循环系统的细胞，可以通过“液体活检”进行检测。</w:t>
      </w:r>
    </w:p>
    <w:p>
      <w:pPr>
        <w:jc w:val="both"/>
      </w:pPr>
      <w:r>
        <w:rPr/>
        <w:t xml:space="preserve">2. 液体活检是一种可靠的癌症诊断替代方案，但由于CTCs数量极低，需要更加敏感的检测方法。</w:t>
      </w:r>
    </w:p>
    <w:p>
      <w:pPr>
        <w:jc w:val="both"/>
      </w:pPr>
      <w:r>
        <w:rPr/>
        <w:t xml:space="preserve">3. 武汉大学黄卫华课题组正在开发新型液体活检技术，以提高CTCs的检测灵敏度和准确性。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作为一篇简短的介绍性文章，该文对于液体活检和循环肿瘤细胞的概念进行了简单的解释。然而，它也存在一些潜在的偏见和不足之处。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CTCs检测技术的局限性和挑战。虽然CTCs被认为是癌症诊断中的一个有前途的指标，但其检测方法仍然面临着许多技术上的困难。例如，由于CTCs数量极少，需要高灵敏度和特异性的检测方法才能准确地鉴定它们。此外，在不同类型和阶段的癌症中，CTCs数量和表型也可能存在差异，这进一步增加了其检测难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液体活检在临床实践中可能带来的风险和限制。尽管液体活检具有非侵入性、可重复性等优点，并且可以用于监测治疗效果和预后评估等方面，但它也存在一些潜在问题。例如，在某些情况下，CTCs可能并不代表真正的肿瘤细胞或者只是良性细胞；此外，在采集、处理、分析样本时也可能出现误差或污染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足够充分的证据来支持其所述内容。虽然该文提到了CTCs数量极少这一事实，但并未给出具体数据或参考文献来支持这个说法。此外，在介绍液体活检作为癌症诊断替代品时，并未提及其他常规诊断方法（如组织活检）与之相比较得出结论所需考虑到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总之，尽管该文对于液体活检和循环肿瘤细胞进行了简要介绍，但它也存在一些偏见、片面报道以及缺失证据等问题。因此，在阅读类似文章时应保持批判思维并寻找更全面、客观、可靠的信息来源。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challenges of CTC detection technology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CTC quantity and phenotype in different types and stages of cancer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of liquid biopsy in clinical practice
</w:t>
      </w:r>
    </w:p>
    <w:p>
      <w:pPr>
        <w:spacing w:after="0"/>
        <w:numPr>
          <w:ilvl w:val="0"/>
          <w:numId w:val="2"/>
        </w:numPr>
      </w:pPr>
      <w:r>
        <w:rPr/>
        <w:t xml:space="preserve">Potential errors or contamination in sample collection</w:t>
      </w:r>
    </w:p>
    <w:p>
      <w:pPr>
        <w:spacing w:after="0"/>
        <w:numPr>
          <w:ilvl w:val="0"/>
          <w:numId w:val="2"/>
        </w:numPr>
      </w:pPr>
      <w:r>
        <w:rPr/>
        <w:t xml:space="preserve">processing</w:t>
      </w:r>
    </w:p>
    <w:p>
      <w:pPr>
        <w:spacing w:after="0"/>
        <w:numPr>
          <w:ilvl w:val="0"/>
          <w:numId w:val="2"/>
        </w:numPr>
      </w:pPr>
      <w:r>
        <w:rPr/>
        <w:t xml:space="preserve">and analysis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the claims made in the article
</w:t>
      </w:r>
    </w:p>
    <w:p>
      <w:pPr>
        <w:numPr>
          <w:ilvl w:val="0"/>
          <w:numId w:val="2"/>
        </w:numPr>
      </w:pPr>
      <w:r>
        <w:rPr/>
        <w:t xml:space="preserve">Comparison of liquid biopsy with other conventional diagnostic methods such as tissue biopsy.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https://www.fullpicture.app/item/1431a04ac5946685600fe9b1463fd2cf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C396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uanglab.whu.edu.cn/" TargetMode="External"/><Relationship Id="rId8" Type="http://schemas.openxmlformats.org/officeDocument/2006/relationships/hyperlink" Target="https://www.fullpicture.app/item/1431a04ac5946685600fe9b1463fd2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2023-12-26T15:51:11+01:00</dcterms:created>
  <dcterms:modified xsi:type="dcterms:W3CDTF">2023-12-26T15:51:11+01:00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