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Wormhole (W) Tokenomics</w:t>
      </w:r>
      <w:br/>
      <w:hyperlink r:id="rId7" w:history="1">
        <w:r>
          <w:rPr>
            <w:color w:val="2980b9"/>
            <w:u w:val="single"/>
          </w:rPr>
          <w:t xml:space="preserve">https://wormhole.com/blog/wormhole-w-tokenomics</w:t>
        </w:r>
      </w:hyperlink>
    </w:p>
    <w:p>
      <w:pPr>
        <w:pStyle w:val="Heading1"/>
      </w:pPr>
      <w:bookmarkStart w:id="2" w:name="_Toc2"/>
      <w:r>
        <w:t>Article summary:</w:t>
      </w:r>
      <w:bookmarkEnd w:id="2"/>
    </w:p>
    <w:p>
      <w:pPr>
        <w:jc w:val="both"/>
      </w:pPr>
      <w:r>
        <w:rPr/>
        <w:t xml:space="preserve">1. Wormhole is a leading interoperability platform connecting over 30 blockchains and handling over 1 billion multichain messages for applications like Uniswap, Circle, and Synthetix.</w:t>
      </w:r>
    </w:p>
    <w:p>
      <w:pPr>
        <w:jc w:val="both"/>
      </w:pPr>
      <w:r>
        <w:rPr/>
        <w:t xml:space="preserve">2. The tokenomics of Wormhole's native token, W, include a maximum supply of 10 billion tokens with an initial circulating supply of 1.8 billion tokens, distributed across strategic stakeholders such as Guardian Nodes, Community &amp; Launch, Core Contributors, Ecosystem &amp; Incubation, Strategic Network Participants, and Foundation Treasury.</w:t>
      </w:r>
    </w:p>
    <w:p>
      <w:pPr>
        <w:jc w:val="both"/>
      </w:pPr>
      <w:r>
        <w:rPr/>
        <w:t xml:space="preserve">3. The governance of Wormhole is progressively decentralizing towards the Wormhole DAO, allowing W holders to guide protocol direction through on-chain governance for activities like adding/removing blockchain connections, upgrading smart contracts, adjusting fees, expanding the Guardian set,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Wormhole's tokenomics, outlining the distribution and release schedule of its native token, W. It highlights the various stakeholders in the Wormhole ecosystem, including Guardian Nodes, Community &amp; Launch participants, Core Contributors, Ecosystem &amp; Incubation contributors, Strategic Network Participants, and the Foundation Treasury. The article also discusses the role of governance and the Wormhole DAO in guiding the protocol's direction.</w:t>
      </w:r>
    </w:p>
    <w:p>
      <w:pPr>
        <w:jc w:val="both"/>
      </w:pPr>
      <w:r>
        <w:rPr/>
        <w:t xml:space="preserve"/>
      </w:r>
    </w:p>
    <w:p>
      <w:pPr>
        <w:jc w:val="both"/>
      </w:pPr>
      <w:r>
        <w:rPr/>
        <w:t xml:space="preserve">One potential bias in the article is its promotional nature. The language used throughout the article is positive and emphasizes Wormhole's achievements and potential for growth. This could lead readers to overlook potential risks or challenges associated with investing in or using Wormhole's platform. Additionally, there is a lack of critical analysis or discussion of any drawbacks or limitations of Wormhole's tokenomics model.</w:t>
      </w:r>
    </w:p>
    <w:p>
      <w:pPr>
        <w:jc w:val="both"/>
      </w:pPr>
      <w:r>
        <w:rPr/>
        <w:t xml:space="preserve"/>
      </w:r>
    </w:p>
    <w:p>
      <w:pPr>
        <w:jc w:val="both"/>
      </w:pPr>
      <w:r>
        <w:rPr/>
        <w:t xml:space="preserve">Furthermore, some claims made in the article are unsupported or lack evidence. For example, it states that Wormhole is the leading interoperability platform powering multichain applications and bridges at scale without providing specific data or metrics to support this claim. Additionally, while it mentions that Uniswap named Wormhole as the only unconditionally approved cross-chain protocol for use by its DAO based on security and decentralization practices, it does not provide any further details or evidence to validate this assertion.</w:t>
      </w:r>
    </w:p>
    <w:p>
      <w:pPr>
        <w:jc w:val="both"/>
      </w:pPr>
      <w:r>
        <w:rPr/>
        <w:t xml:space="preserve"/>
      </w:r>
    </w:p>
    <w:p>
      <w:pPr>
        <w:jc w:val="both"/>
      </w:pPr>
      <w:r>
        <w:rPr/>
        <w:t xml:space="preserve">The article also lacks exploration of potential counterarguments or alternative perspectives. It presents a one-sided view of Wormhole's tokenomics without addressing any criticisms or challenges that may exist within the ecosystem. This can give readers a skewed understanding of the platform's overall strengths and weaknesses.</w:t>
      </w:r>
    </w:p>
    <w:p>
      <w:pPr>
        <w:jc w:val="both"/>
      </w:pPr>
      <w:r>
        <w:rPr/>
        <w:t xml:space="preserve"/>
      </w:r>
    </w:p>
    <w:p>
      <w:pPr>
        <w:jc w:val="both"/>
      </w:pPr>
      <w:r>
        <w:rPr/>
        <w:t xml:space="preserve">Overall, while the article provides a comprehensive overview of Wormhole's tokenomics and governance structure, it would benefit from a more balanced approach that considers potential risks, challenges, and alternative viewpoints. By addressing these aspects more thoroughly, readers can make more informed decisions about engaging with Wormhole as a platform or investment opportunity.</w:t>
      </w:r>
    </w:p>
    <w:p>
      <w:pPr>
        <w:pStyle w:val="Heading1"/>
      </w:pPr>
      <w:bookmarkStart w:id="5" w:name="_Toc5"/>
      <w:r>
        <w:t>Topics for further research:</w:t>
      </w:r>
      <w:bookmarkEnd w:id="5"/>
    </w:p>
    <w:p>
      <w:pPr>
        <w:spacing w:after="0"/>
        <w:numPr>
          <w:ilvl w:val="0"/>
          <w:numId w:val="2"/>
        </w:numPr>
      </w:pPr>
      <w:r>
        <w:rPr/>
        <w:t xml:space="preserve">Criticisms of Wormhole tokenomics model
</w:t>
      </w:r>
    </w:p>
    <w:p>
      <w:pPr>
        <w:spacing w:after="0"/>
        <w:numPr>
          <w:ilvl w:val="0"/>
          <w:numId w:val="2"/>
        </w:numPr>
      </w:pPr>
      <w:r>
        <w:rPr/>
        <w:t xml:space="preserve">Challenges of investing in Wormhole platform
</w:t>
      </w:r>
    </w:p>
    <w:p>
      <w:pPr>
        <w:spacing w:after="0"/>
        <w:numPr>
          <w:ilvl w:val="0"/>
          <w:numId w:val="2"/>
        </w:numPr>
      </w:pPr>
      <w:r>
        <w:rPr/>
        <w:t xml:space="preserve">Wormhole interoperability platform metrics
</w:t>
      </w:r>
    </w:p>
    <w:p>
      <w:pPr>
        <w:spacing w:after="0"/>
        <w:numPr>
          <w:ilvl w:val="0"/>
          <w:numId w:val="2"/>
        </w:numPr>
      </w:pPr>
      <w:r>
        <w:rPr/>
        <w:t xml:space="preserve">Uniswap approval process for cross-chain protocols
</w:t>
      </w:r>
    </w:p>
    <w:p>
      <w:pPr>
        <w:spacing w:after="0"/>
        <w:numPr>
          <w:ilvl w:val="0"/>
          <w:numId w:val="2"/>
        </w:numPr>
      </w:pPr>
      <w:r>
        <w:rPr/>
        <w:t xml:space="preserve">Wormhole ecosystem weaknesses
</w:t>
      </w:r>
    </w:p>
    <w:p>
      <w:pPr>
        <w:numPr>
          <w:ilvl w:val="0"/>
          <w:numId w:val="2"/>
        </w:numPr>
      </w:pPr>
      <w:r>
        <w:rPr/>
        <w:t xml:space="preserve">Alternative perspectives on Wormhole governance</w:t>
      </w:r>
    </w:p>
    <w:p>
      <w:pPr>
        <w:pStyle w:val="Heading1"/>
      </w:pPr>
      <w:bookmarkStart w:id="6" w:name="_Toc6"/>
      <w:r>
        <w:t>Report location:</w:t>
      </w:r>
      <w:bookmarkEnd w:id="6"/>
    </w:p>
    <w:p>
      <w:hyperlink r:id="rId8" w:history="1">
        <w:r>
          <w:rPr>
            <w:color w:val="2980b9"/>
            <w:u w:val="single"/>
          </w:rPr>
          <w:t xml:space="preserve">https://www.fullpicture.app/item/1480cba24f67b7d8225ee1c3b1339587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EC8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rmhole.com/blog/wormhole-w-tokenomics" TargetMode="External"/><Relationship Id="rId8" Type="http://schemas.openxmlformats.org/officeDocument/2006/relationships/hyperlink" Target="https://www.fullpicture.app/item/1480cba24f67b7d8225ee1c3b13395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2024-07-10T08:30:47+02:00</dcterms:created>
  <dcterms:modified xsi:type="dcterms:W3CDTF">2024-07-10T08:30:47+02:00</dcterms:modified>
</cp:coreProperties>
</file>

<file path=docProps/custom.xml><?xml version="1.0" encoding="utf-8"?>
<Properties xmlns="http://schemas.openxmlformats.org/officeDocument/2006/custom-properties" xmlns:vt="http://schemas.openxmlformats.org/officeDocument/2006/docPropsVTypes"/>
</file>