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evolution of urban-agricultural-ecological space in China and its driving mechanism - ScienceDirect</w:t>
      </w:r>
      <w:br/>
      <w:hyperlink r:id="rId7" w:history="1">
        <w:r>
          <w:rPr>
            <w:color w:val="2980b9"/>
            <w:u w:val="single"/>
          </w:rPr>
          <w:t xml:space="preserve">https://www.sciencedirect.com/science/article/pii/S0959652622032619</w:t>
        </w:r>
      </w:hyperlink>
    </w:p>
    <w:p>
      <w:pPr>
        <w:pStyle w:val="Heading1"/>
      </w:pPr>
      <w:bookmarkStart w:id="2" w:name="_Toc2"/>
      <w:r>
        <w:t>Article summary:</w:t>
      </w:r>
      <w:bookmarkEnd w:id="2"/>
    </w:p>
    <w:p>
      <w:pPr>
        <w:jc w:val="both"/>
      </w:pPr>
      <w:r>
        <w:rPr/>
        <w:t xml:space="preserve">1. Approximately 1/8 of urban-agricultural-ecological space types in China have been changed from 2000 to 2020.</w:t>
      </w:r>
    </w:p>
    <w:p>
      <w:pPr>
        <w:jc w:val="both"/>
      </w:pPr>
      <w:r>
        <w:rPr/>
        <w:t xml:space="preserve">2. Mainland China can be classified into four different zones according to the main type of changes.</w:t>
      </w:r>
    </w:p>
    <w:p>
      <w:pPr>
        <w:jc w:val="both"/>
      </w:pPr>
      <w:r>
        <w:rPr/>
        <w:t xml:space="preserve">3. Socioeconomic factors have more contributions to the changes, especially GDP density, residential area, and initial land-use type.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“Spatiotemporal evolution of urban-agricultural-ecological space in China and its driving mechanism” is a comprehensive study on the spatiotemporal evolution of urban-agricultural-ecological space in China from 2000 to 2020 and its driving mechanism. The article is well written and provides a detailed overview of the research topic, including data sources, methods used, results obtained, and conclusions drawn.</w:t>
      </w:r>
    </w:p>
    <w:p>
      <w:pPr>
        <w:jc w:val="both"/>
      </w:pPr>
      <w:r>
        <w:rPr/>
        <w:t xml:space="preserve">The article is reliable in terms of data sources as it uses multiple datasets from various sources such as GlobeLand30, Geospatial Data Cloud, Resource and Environment Science and Data Center, Atlas of Humanistic Social Economic and Natural Environment for Earthquake Emergency Rescue, WorldClim database, Global Inventory Modeling and Mapping Studies Group, China Meteorological Data Sharing Service System etc., which are all credible sources. Furthermore, the authors have used the Maximum Entropy (MaxEnt) model to simulate the driving mechanism of urban-agricultural-ecological space at both national and regional scales which is an appropriate method for this kind of research.</w:t>
      </w:r>
    </w:p>
    <w:p>
      <w:pPr>
        <w:jc w:val="both"/>
      </w:pPr>
      <w:r>
        <w:rPr/>
        <w:t xml:space="preserve">However, there are some potential biases that should be noted when interpreting the results presented in this article. Firstly, while the authors have discussed various socioeconomic factors that contribute to urban-agricultural-ecological space changes such as population growth or institutional changes since 1940s etc., they do not provide any evidence or data to support their claims which could weaken their argument. Secondly, while discussing planning policy factors such as development priority zone or ecological reserve etc., they do not explore any counterarguments or alternative perspectives which could lead to a one sided reporting on this issue. Lastly, while discussing physical geographical factors such as elevation or slope etc., they do not mention any possible risks associated with these factors which could lead to partiality in their reporting on this issue. </w:t>
      </w:r>
    </w:p>
    <w:p>
      <w:pPr>
        <w:jc w:val="both"/>
      </w:pPr>
      <w:r>
        <w:rPr/>
        <w:t xml:space="preserve">In conclusion, overall this article provides a comprehensive overview of spatiotemporal evolution of urban-agricultural-ecological space in China from 2000 to 2020 and its driving mechanism using credible data sources and appropriate</w:t>
      </w:r>
    </w:p>
    <w:p>
      <w:pPr>
        <w:pStyle w:val="Heading1"/>
      </w:pPr>
      <w:bookmarkStart w:id="5" w:name="_Toc5"/>
      <w:r>
        <w:t>Topics for further research:</w:t>
      </w:r>
      <w:bookmarkEnd w:id="5"/>
    </w:p>
    <w:p>
      <w:pPr>
        <w:spacing w:after="0"/>
        <w:numPr>
          <w:ilvl w:val="0"/>
          <w:numId w:val="2"/>
        </w:numPr>
      </w:pPr>
      <w:r>
        <w:rPr/>
        <w:t xml:space="preserve">Socioeconomic factors influencing urban-agricultural-ecological space</w:t>
      </w:r>
    </w:p>
    <w:p>
      <w:pPr>
        <w:spacing w:after="0"/>
        <w:numPr>
          <w:ilvl w:val="0"/>
          <w:numId w:val="2"/>
        </w:numPr>
      </w:pPr>
      <w:r>
        <w:rPr/>
        <w:t xml:space="preserve">Planning policy factors affecting urban-agricultural-ecological space</w:t>
      </w:r>
    </w:p>
    <w:p>
      <w:pPr>
        <w:spacing w:after="0"/>
        <w:numPr>
          <w:ilvl w:val="0"/>
          <w:numId w:val="2"/>
        </w:numPr>
      </w:pPr>
      <w:r>
        <w:rPr/>
        <w:t xml:space="preserve">Physical geographical factors influencing urban-agricultural-ecological space</w:t>
      </w:r>
    </w:p>
    <w:p>
      <w:pPr>
        <w:spacing w:after="0"/>
        <w:numPr>
          <w:ilvl w:val="0"/>
          <w:numId w:val="2"/>
        </w:numPr>
      </w:pPr>
      <w:r>
        <w:rPr/>
        <w:t xml:space="preserve">Risks associated with physical geographical factors</w:t>
      </w:r>
    </w:p>
    <w:p>
      <w:pPr>
        <w:spacing w:after="0"/>
        <w:numPr>
          <w:ilvl w:val="0"/>
          <w:numId w:val="2"/>
        </w:numPr>
      </w:pPr>
      <w:r>
        <w:rPr/>
        <w:t xml:space="preserve">Alternative perspectives on urban-agricultural-ecological space</w:t>
      </w:r>
    </w:p>
    <w:p>
      <w:pPr>
        <w:numPr>
          <w:ilvl w:val="0"/>
          <w:numId w:val="2"/>
        </w:numPr>
      </w:pPr>
      <w:r>
        <w:rPr/>
        <w:t xml:space="preserve">Counterarguments to planning policy factors</w:t>
      </w:r>
    </w:p>
    <w:p>
      <w:pPr>
        <w:pStyle w:val="Heading1"/>
      </w:pPr>
      <w:bookmarkStart w:id="6" w:name="_Toc6"/>
      <w:r>
        <w:t>Report location:</w:t>
      </w:r>
      <w:bookmarkEnd w:id="6"/>
    </w:p>
    <w:p>
      <w:hyperlink r:id="rId8" w:history="1">
        <w:r>
          <w:rPr>
            <w:color w:val="2980b9"/>
            <w:u w:val="single"/>
          </w:rPr>
          <w:t xml:space="preserve">https://www.fullpicture.app/item/1592b18464b8426c63c934bff912c05f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7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32619" TargetMode="External"/><Relationship Id="rId8" Type="http://schemas.openxmlformats.org/officeDocument/2006/relationships/hyperlink" Target="https://www.fullpicture.app/item/1592b18464b8426c63c934bff912c0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2023-02-27T17:04:38+01:00</dcterms:created>
  <dcterms:modified xsi:type="dcterms:W3CDTF">2023-02-27T17:04:38+01:00</dcterms:modified>
</cp:coreProperties>
</file>

<file path=docProps/custom.xml><?xml version="1.0" encoding="utf-8"?>
<Properties xmlns="http://schemas.openxmlformats.org/officeDocument/2006/custom-properties" xmlns:vt="http://schemas.openxmlformats.org/officeDocument/2006/docPropsVTypes"/>
</file>