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Crawford v. Washington, No. 02-9410. - Federal Cases - Case Law - VLEX 888766637</w:t>
      </w:r>
      <w:br/>
      <w:hyperlink r:id="rId7" w:history="1">
        <w:r>
          <w:rPr>
            <w:color w:val="2980b9"/>
            <w:u w:val="single"/>
          </w:rPr>
          <w:t xml:space="preserve">https://case-law.vlex.com/vid/crawford-v-washington-no-888766637</w:t>
        </w:r>
      </w:hyperlink>
    </w:p>
    <w:p>
      <w:pPr>
        <w:pStyle w:val="Heading1"/>
      </w:pPr>
      <w:bookmarkStart w:id="2" w:name="_Toc2"/>
      <w:r>
        <w:t>Article summary:</w:t>
      </w:r>
      <w:bookmarkEnd w:id="2"/>
    </w:p>
    <w:p>
      <w:pPr>
        <w:jc w:val="both"/>
      </w:pPr>
      <w:r>
        <w:rPr/>
        <w:t xml:space="preserve">1. The case of Crawford v. Washington involved the use of a recorded statement made by petitioner's wife during police interrogation as evidence against him in a trial for assault and attempted murder.</w:t>
      </w:r>
    </w:p>
    <w:p>
      <w:pPr>
        <w:jc w:val="both"/>
      </w:pPr>
      <w:r>
        <w:rPr/>
        <w:t xml:space="preserve">2. The State Supreme Court upheld the conviction, deeming the statement reliable because it was nearly identical to petitioner's own statement to the police.</w:t>
      </w:r>
    </w:p>
    <w:p>
      <w:pPr>
        <w:jc w:val="both"/>
      </w:pPr>
      <w:r>
        <w:rPr/>
        <w:t xml:space="preserve">3. The Supreme Court ultimately ruled that the State's use of Sylvia's statement violated the Confrontation Clause because, where testimonial statements are at issue, the only indicium of reliability sufficient to satisfy constitutional demands is confrontation.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analysis of the Supreme Court's decision in Crawford v. Washington, which held that the use of testimonial statements against a criminal defendant violates the Confrontation Clause unless the witness is unavailable and the defendant had a prior opportunity for cross-examination. The article presents a thorough examination of the historical background and original meaning of the Confrontation Clause, as well as critiques of more recent decisions such as Ohio v. Roberts.</w:t>
      </w:r>
    </w:p>
    <w:p>
      <w:pPr>
        <w:jc w:val="both"/>
      </w:pPr>
      <w:r>
        <w:rPr/>
        <w:t xml:space="preserve"/>
      </w:r>
    </w:p>
    <w:p>
      <w:pPr>
        <w:jc w:val="both"/>
      </w:pPr>
      <w:r>
        <w:rPr/>
        <w:t xml:space="preserve">Overall, the article appears to be unbiased and objective in its reporting of the case and its implications. It provides a clear explanation of the legal issues at stake and offers insights into how the Court arrived at its decision. However, it does not explore potential counterarguments or alternative perspectives on the case, which could limit its overall balance.</w:t>
      </w:r>
    </w:p>
    <w:p>
      <w:pPr>
        <w:jc w:val="both"/>
      </w:pPr>
      <w:r>
        <w:rPr/>
        <w:t xml:space="preserve"/>
      </w:r>
    </w:p>
    <w:p>
      <w:pPr>
        <w:jc w:val="both"/>
      </w:pPr>
      <w:r>
        <w:rPr/>
        <w:t xml:space="preserve">One potential bias in the article is its focus on textualist and originalist interpretations of the Constitution, which may not reflect all legal perspectives or approaches to constitutional law. Additionally, while it notes some criticisms of Ohio v. Roberts, it does not fully explore alternative views on how to balance reliability and confrontation rights in criminal trials.</w:t>
      </w:r>
    </w:p>
    <w:p>
      <w:pPr>
        <w:jc w:val="both"/>
      </w:pPr>
      <w:r>
        <w:rPr/>
        <w:t xml:space="preserve"/>
      </w:r>
    </w:p>
    <w:p>
      <w:pPr>
        <w:jc w:val="both"/>
      </w:pPr>
      <w:r>
        <w:rPr/>
        <w:t xml:space="preserve">Overall, however, the article provides a valuable analysis of an important Supreme Court decision and offers insights into how constitutional principles can shape criminal procedure in practice.</w:t>
      </w:r>
    </w:p>
    <w:p>
      <w:pPr>
        <w:pStyle w:val="Heading1"/>
      </w:pPr>
      <w:bookmarkStart w:id="5" w:name="_Toc5"/>
      <w:r>
        <w:t>Topics for further research:</w:t>
      </w:r>
      <w:bookmarkEnd w:id="5"/>
    </w:p>
    <w:p>
      <w:pPr>
        <w:spacing w:after="0"/>
        <w:numPr>
          <w:ilvl w:val="0"/>
          <w:numId w:val="2"/>
        </w:numPr>
      </w:pPr>
      <w:r>
        <w:rPr/>
        <w:t xml:space="preserve">Criticisms of originalist and textualist interpretations of the Constitution
</w:t>
      </w:r>
    </w:p>
    <w:p>
      <w:pPr>
        <w:spacing w:after="0"/>
        <w:numPr>
          <w:ilvl w:val="0"/>
          <w:numId w:val="2"/>
        </w:numPr>
      </w:pPr>
      <w:r>
        <w:rPr/>
        <w:t xml:space="preserve">Alternative approaches to constitutional law
</w:t>
      </w:r>
    </w:p>
    <w:p>
      <w:pPr>
        <w:spacing w:after="0"/>
        <w:numPr>
          <w:ilvl w:val="0"/>
          <w:numId w:val="2"/>
        </w:numPr>
      </w:pPr>
      <w:r>
        <w:rPr/>
        <w:t xml:space="preserve">Balancing reliability and confrontation rights in criminal trials
</w:t>
      </w:r>
    </w:p>
    <w:p>
      <w:pPr>
        <w:spacing w:after="0"/>
        <w:numPr>
          <w:ilvl w:val="0"/>
          <w:numId w:val="2"/>
        </w:numPr>
      </w:pPr>
      <w:r>
        <w:rPr/>
        <w:t xml:space="preserve">Critiques of Crawford v. Washington decision
</w:t>
      </w:r>
    </w:p>
    <w:p>
      <w:pPr>
        <w:spacing w:after="0"/>
        <w:numPr>
          <w:ilvl w:val="0"/>
          <w:numId w:val="2"/>
        </w:numPr>
      </w:pPr>
      <w:r>
        <w:rPr/>
        <w:t xml:space="preserve">Impact of Crawford v. Washington on criminal procedure
</w:t>
      </w:r>
    </w:p>
    <w:p>
      <w:pPr>
        <w:numPr>
          <w:ilvl w:val="0"/>
          <w:numId w:val="2"/>
        </w:numPr>
      </w:pPr>
      <w:r>
        <w:rPr/>
        <w:t xml:space="preserve">Historical development of the Confrontation Clause</w:t>
      </w:r>
    </w:p>
    <w:p>
      <w:pPr>
        <w:pStyle w:val="Heading1"/>
      </w:pPr>
      <w:bookmarkStart w:id="6" w:name="_Toc6"/>
      <w:r>
        <w:t>Report location:</w:t>
      </w:r>
      <w:bookmarkEnd w:id="6"/>
    </w:p>
    <w:p>
      <w:hyperlink r:id="rId8" w:history="1">
        <w:r>
          <w:rPr>
            <w:color w:val="2980b9"/>
            <w:u w:val="single"/>
          </w:rPr>
          <w:t xml:space="preserve">https://www.fullpicture.app/item/16b9cfd845acaf8d3892f801c9c58c72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2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se-law.vlex.com/vid/crawford-v-washington-no-888766637" TargetMode="External"/><Relationship Id="rId8" Type="http://schemas.openxmlformats.org/officeDocument/2006/relationships/hyperlink" Target="https://www.fullpicture.app/item/16b9cfd845acaf8d3892f801c9c58c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2023-12-31T22:17:23+01:00</dcterms:created>
  <dcterms:modified xsi:type="dcterms:W3CDTF">2023-12-31T22:17:23+01:00</dcterms:modified>
</cp:coreProperties>
</file>

<file path=docProps/custom.xml><?xml version="1.0" encoding="utf-8"?>
<Properties xmlns="http://schemas.openxmlformats.org/officeDocument/2006/custom-properties" xmlns:vt="http://schemas.openxmlformats.org/officeDocument/2006/docPropsVTypes"/>
</file>