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exclamation mark of Cain: Risk salience and mutual fund flows - ScienceDirect</w:t>
      </w:r>
      <w:br/>
      <w:hyperlink r:id="rId7" w:history="1">
        <w:r>
          <w:rPr>
            <w:color w:val="2980b9"/>
            <w:u w:val="single"/>
          </w:rPr>
          <w:t xml:space="preserve">https://vpn.jlu.edu.cn/https/44696469646131313237446964696461bd6feb2610cba212c258e268de7790f17702c29fe5/science/article/pii/S0378426621002831</w:t>
        </w:r>
      </w:hyperlink>
    </w:p>
    <w:p>
      <w:pPr>
        <w:pStyle w:val="Heading1"/>
      </w:pPr>
      <w:bookmarkStart w:id="2" w:name="_Toc2"/>
      <w:r>
        <w:t>Article summary:</w:t>
      </w:r>
      <w:bookmarkEnd w:id="2"/>
    </w:p>
    <w:p>
      <w:pPr>
        <w:jc w:val="both"/>
      </w:pPr>
      <w:r>
        <w:rPr/>
        <w:t xml:space="preserve">1. 本文研究了以色列监管改革对互惠基金流动性的影响。该改革要求基金经理在互惠基金名称中添加感叹号，以突出风险披露。研究利用了这一改革的特殊属性，通过两种不同的识别策略建立了感叹号添加与基金流动性变化之间的因果关系。</w:t>
      </w:r>
    </w:p>
    <w:p>
      <w:pPr>
        <w:jc w:val="both"/>
      </w:pPr>
      <w:r>
        <w:rPr/>
        <w:t xml:space="preserve"/>
      </w:r>
    </w:p>
    <w:p>
      <w:pPr>
        <w:jc w:val="both"/>
      </w:pPr>
      <w:r>
        <w:rPr/>
        <w:t xml:space="preserve">2. 研究发现，在添加感叹号后，互惠基金的日净流入量显著下降。这种下降是统计上显著的，并且绝对值是样本期间平均每日净流入量的两倍。</w:t>
      </w:r>
    </w:p>
    <w:p>
      <w:pPr>
        <w:jc w:val="both"/>
      </w:pPr>
      <w:r>
        <w:rPr/>
        <w:t xml:space="preserve"/>
      </w:r>
    </w:p>
    <w:p>
      <w:pPr>
        <w:jc w:val="both"/>
      </w:pPr>
      <w:r>
        <w:rPr/>
        <w:t xml:space="preserve">3. 研究还发现，该改革对投资者类型产生了影响。专业投资者（如外国投资者）受到的影响较小，而零售投资者更容易受到行为偏差的影响。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信息呈现对投资者行为的影响，特别是风险突出性的增加。它通过以色列监管改革对互惠基金流动性的影响进行了实证研究，并表明即使是微小的监管干预也可以显著影响金融市场。该研究利用了这个准自然实验的特殊性质来确定感叹号标记对基金流动性的因果影响。</w:t>
      </w:r>
    </w:p>
    <w:p>
      <w:pPr>
        <w:jc w:val="both"/>
      </w:pPr>
      <w:r>
        <w:rPr/>
        <w:t xml:space="preserve"/>
      </w:r>
    </w:p>
    <w:p>
      <w:pPr>
        <w:jc w:val="both"/>
      </w:pPr>
      <w:r>
        <w:rPr/>
        <w:t xml:space="preserve">然而，这篇文章存在一些潜在的偏见和局限性。首先，它没有充分考虑其他可能影响基金流动性的因素，如市场情绪、经济环境等。其次，文章没有提供足够的证据来支持其主张，比如没有详细说明为什么添加感叹号标记会导致基金流动性下降。此外，文章还未探索可能存在的反驳观点或其他解释。</w:t>
      </w:r>
    </w:p>
    <w:p>
      <w:pPr>
        <w:jc w:val="both"/>
      </w:pPr>
      <w:r>
        <w:rPr/>
        <w:t xml:space="preserve"/>
      </w:r>
    </w:p>
    <w:p>
      <w:pPr>
        <w:jc w:val="both"/>
      </w:pPr>
      <w:r>
        <w:rPr/>
        <w:t xml:space="preserve">此外，文章可能存在片面报道和偏袒之嫌。它只关注了添加感叹号标记后基金流动性下降的结果，并未全面考虑其他可能发生的情况。此外，在描述监管改革时，文章可能过于强调了其积极作用，并未平衡地呈现潜在的风险和负面影响。</w:t>
      </w:r>
    </w:p>
    <w:p>
      <w:pPr>
        <w:jc w:val="both"/>
      </w:pPr>
      <w:r>
        <w:rPr/>
        <w:t xml:space="preserve"/>
      </w:r>
    </w:p>
    <w:p>
      <w:pPr>
        <w:jc w:val="both"/>
      </w:pPr>
      <w:r>
        <w:rPr/>
        <w:t xml:space="preserve">最后，文章没有提供足够的数据和证据来支持其结论。虽然它使用了两种不同的识别策略来建立感叹号标记与基金流动性变化之间的因果关系，但并未详细说明这些策略的有效性和可靠性。</w:t>
      </w:r>
    </w:p>
    <w:p>
      <w:pPr>
        <w:jc w:val="both"/>
      </w:pPr>
      <w:r>
        <w:rPr/>
        <w:t xml:space="preserve"/>
      </w:r>
    </w:p>
    <w:p>
      <w:pPr>
        <w:jc w:val="both"/>
      </w:pPr>
      <w:r>
        <w:rPr/>
        <w:t xml:space="preserve">综上所述，这篇文章在探讨信息呈现对投资者行为的影响方面提供了一些有趣的观点，但存在潜在的偏见和局限性。进一步研究和更全面的分析是必要的，以验证其结论并得出更准确的结论。</w:t>
      </w:r>
    </w:p>
    <w:p>
      <w:pPr>
        <w:pStyle w:val="Heading1"/>
      </w:pPr>
      <w:bookmarkStart w:id="5" w:name="_Toc5"/>
      <w:r>
        <w:t>Topics for further research:</w:t>
      </w:r>
      <w:bookmarkEnd w:id="5"/>
    </w:p>
    <w:p>
      <w:pPr>
        <w:spacing w:after="0"/>
        <w:numPr>
          <w:ilvl w:val="0"/>
          <w:numId w:val="2"/>
        </w:numPr>
      </w:pPr>
      <w:r>
        <w:rPr/>
        <w:t xml:space="preserve">其他可能影响基金流动性的因素
</w:t>
      </w:r>
    </w:p>
    <w:p>
      <w:pPr>
        <w:spacing w:after="0"/>
        <w:numPr>
          <w:ilvl w:val="0"/>
          <w:numId w:val="2"/>
        </w:numPr>
      </w:pPr>
      <w:r>
        <w:rPr/>
        <w:t xml:space="preserve">添加感叹号标记导致基金流动性下降的具体原因
</w:t>
      </w:r>
    </w:p>
    <w:p>
      <w:pPr>
        <w:spacing w:after="0"/>
        <w:numPr>
          <w:ilvl w:val="0"/>
          <w:numId w:val="2"/>
        </w:numPr>
      </w:pPr>
      <w:r>
        <w:rPr/>
        <w:t xml:space="preserve">反驳观点或其他解释
</w:t>
      </w:r>
    </w:p>
    <w:p>
      <w:pPr>
        <w:spacing w:after="0"/>
        <w:numPr>
          <w:ilvl w:val="0"/>
          <w:numId w:val="2"/>
        </w:numPr>
      </w:pPr>
      <w:r>
        <w:rPr/>
        <w:t xml:space="preserve">其他可能发生的情况
</w:t>
      </w:r>
    </w:p>
    <w:p>
      <w:pPr>
        <w:spacing w:after="0"/>
        <w:numPr>
          <w:ilvl w:val="0"/>
          <w:numId w:val="2"/>
        </w:numPr>
      </w:pPr>
      <w:r>
        <w:rPr/>
        <w:t xml:space="preserve">监管改革的潜在风险和负面影响
</w:t>
      </w:r>
    </w:p>
    <w:p>
      <w:pPr>
        <w:numPr>
          <w:ilvl w:val="0"/>
          <w:numId w:val="2"/>
        </w:numPr>
      </w:pPr>
      <w:r>
        <w:rPr/>
        <w:t xml:space="preserve">识别策略的有效性和可靠性</w:t>
      </w:r>
    </w:p>
    <w:p>
      <w:pPr>
        <w:pStyle w:val="Heading1"/>
      </w:pPr>
      <w:bookmarkStart w:id="6" w:name="_Toc6"/>
      <w:r>
        <w:t>Report location:</w:t>
      </w:r>
      <w:bookmarkEnd w:id="6"/>
    </w:p>
    <w:p>
      <w:hyperlink r:id="rId8" w:history="1">
        <w:r>
          <w:rPr>
            <w:color w:val="2980b9"/>
            <w:u w:val="single"/>
          </w:rPr>
          <w:t xml:space="preserve">https://www.fullpicture.app/item/177116eaf0a292644e67e3bfbbec14cb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2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78426621002831" TargetMode="External"/><Relationship Id="rId8" Type="http://schemas.openxmlformats.org/officeDocument/2006/relationships/hyperlink" Target="https://www.fullpicture.app/item/177116eaf0a292644e67e3bfbbec1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2024-06-15T21:44:33+02:00</dcterms:created>
  <dcterms:modified xsi:type="dcterms:W3CDTF">2024-06-15T21:44:33+02:00</dcterms:modified>
</cp:coreProperties>
</file>

<file path=docProps/custom.xml><?xml version="1.0" encoding="utf-8"?>
<Properties xmlns="http://schemas.openxmlformats.org/officeDocument/2006/custom-properties" xmlns:vt="http://schemas.openxmlformats.org/officeDocument/2006/docPropsVTypes"/>
</file>