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ESG Drivers and the COVID-19 Catalyst</w:t>
      </w:r>
      <w:br/>
      <w:hyperlink r:id="rId7" w:history="1">
        <w:r>
          <w:rPr>
            <w:color w:val="2980b9"/>
            <w:u w:val="single"/>
          </w:rPr>
          <w:t xml:space="preserve">https://corpgov.law.harvard.edu/2020/12/27/esg-drivers-and-the-covid-19-catalyst/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COVID-19 pandemic has accelerated the trend towards greater ESG integration by highlighting the role of business in confronting wider societal issues.</w:t>
      </w:r>
    </w:p>
    <w:p>
      <w:pPr>
        <w:jc w:val="both"/>
      </w:pPr>
      <w:r>
        <w:rPr/>
        <w:t xml:space="preserve">2. Social pressures, regulatory changes, and investor expectations are driving the increasing adoption of ESG management systems.</w:t>
      </w:r>
    </w:p>
    <w:p>
      <w:pPr>
        <w:jc w:val="both"/>
      </w:pPr>
      <w:r>
        <w:rPr/>
        <w:t xml:space="preserve">3. Companies should focus on social inequalities and workforce risks, the acceleration of pre-existing economic trends, and continued emphasis on ESG issues as they reconsider their approach to ESG in the aftermath of the pandemic.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ESG管理的趋势进行了概述，但存在一些偏见和不完整的报道。首先，文章没有提到ESG管理可能会带来的风险和挑战，而只是强调了其潜在的经济和社会价值。其次，文章没有平等地呈现双方的观点，而是更多地关注了投资者和公司的角度，忽略了其他利益相关者（如消费者、员工、社区）的声音。此外，文章也没有探讨ESG标准化框架可能带来的问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此外，文章还存在一些片面报道和缺失考虑点。例如，在讨论投资者对ESG披露要求增加时，文章只提到了三家全球最大资产管理公司（BlackRock、Vanguard和State Street）的立场，并未涵盖其他投资者或机构。此外，在讨论COVID-19危机加速ESG趋势时，文章没有探讨这种趋势是否会持续下去或是否会出现反弹。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最后，该文章存在宣传内容和偏袒之嫌。例如，在讨论投资者对公司采取行动以解决ESG问题时，文章只引用了BlackRock和State Street等大型资产管理公司采取行动的例子，并未提及其他投资者或机构采取类似行动的情况。此外，在讨论政策变化对ESG管理的影响时，文章将欧洲视为“引领”ESG问题解决方案的地区，并未探讨其他地区或国家在这方面所做出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总之，该文章提供了有关ESG管理趋势及其驱动因素的一些信息，但需要更全面、客观地呈现各方观点，并探讨可能存在的风险和挑战。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ESG management
</w:t>
      </w:r>
    </w:p>
    <w:p>
      <w:pPr>
        <w:spacing w:after="0"/>
        <w:numPr>
          <w:ilvl w:val="0"/>
          <w:numId w:val="2"/>
        </w:numPr>
      </w:pPr>
      <w:r>
        <w:rPr/>
        <w:t xml:space="preserve">Perspectives of other stakeholders beyond investors and companies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ESG standardization frameworks
</w:t>
      </w:r>
    </w:p>
    <w:p>
      <w:pPr>
        <w:spacing w:after="0"/>
        <w:numPr>
          <w:ilvl w:val="0"/>
          <w:numId w:val="2"/>
        </w:numPr>
      </w:pPr>
      <w:r>
        <w:rPr/>
        <w:t xml:space="preserve">Diversity of investor and institutional perspectives on ESG disclosure requirements
</w:t>
      </w:r>
    </w:p>
    <w:p>
      <w:pPr>
        <w:spacing w:after="0"/>
        <w:numPr>
          <w:ilvl w:val="0"/>
          <w:numId w:val="2"/>
        </w:numPr>
      </w:pPr>
      <w:r>
        <w:rPr/>
        <w:t xml:space="preserve">Uncertainty of the long-term sustainability of the COVID-19-induced ESG trend
</w:t>
      </w:r>
    </w:p>
    <w:p>
      <w:pPr>
        <w:numPr>
          <w:ilvl w:val="0"/>
          <w:numId w:val="2"/>
        </w:numPr>
      </w:pPr>
      <w:r>
        <w:rPr/>
        <w:t xml:space="preserve">Balanced coverage of global contributions to ESG problem-solving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https://www.fullpicture.app/item/18c858729ebb7da04b6bc984d31a10a4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88B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rpgov.law.harvard.edu/2020/12/27/esg-drivers-and-the-covid-19-catalyst/" TargetMode="External"/><Relationship Id="rId8" Type="http://schemas.openxmlformats.org/officeDocument/2006/relationships/hyperlink" Target="https://www.fullpicture.app/item/18c858729ebb7da04b6bc984d31a10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2023-12-14T02:38:43+01:00</dcterms:created>
  <dcterms:modified xsi:type="dcterms:W3CDTF">2023-12-14T02:38:43+01:00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