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Prognosis assessment of persistent left bundle branch block after TAVI by an electrophysiological and remote monitoring risk-adapted algorithm: rationale and design of the multicentre LBBB–TAVI Study - PMC</w:t>
      </w:r>
      <w:br/>
      <w:hyperlink r:id="rId7" w:history="1">
        <w:r>
          <w:rPr>
            <w:color w:val="2980b9"/>
            <w:u w:val="single"/>
          </w:rPr>
          <w:t xml:space="preserve">https://www.ncbi.nlm.nih.gov/pmc/articles/PMC5093384/</w:t>
        </w:r>
      </w:hyperlink>
    </w:p>
    <w:p>
      <w:pPr>
        <w:pStyle w:val="Heading1"/>
      </w:pPr>
      <w:bookmarkStart w:id="2" w:name="_Toc2"/>
      <w:r>
        <w:t>Article summary:</w:t>
      </w:r>
      <w:bookmarkEnd w:id="2"/>
    </w:p>
    <w:p>
      <w:pPr>
        <w:jc w:val="both"/>
      </w:pPr>
      <w:r>
        <w:rPr/>
        <w:t xml:space="preserve">1. The LBBB-TAVI Study is a multicentre study designed to assess the efficacy and safety of a decisional algorithm based on electrophysiological study and remote monitoring of CIEDs in the prediction of high-grade conduction disturbances in patients with LBBB after TAVI.</w:t>
      </w:r>
    </w:p>
    <w:p>
      <w:pPr>
        <w:jc w:val="both"/>
      </w:pPr>
      <w:r>
        <w:rPr/>
        <w:t xml:space="preserve">2. The primary end point is to compare the incidence (rate and time to onset) of high-grade conduction disturbances in patients with LBBB after TAVI between two groups at 12 months.</w:t>
      </w:r>
    </w:p>
    <w:p>
      <w:pPr>
        <w:jc w:val="both"/>
      </w:pPr>
      <w:r>
        <w:rPr/>
        <w:t xml:space="preserve">3. Local ethics committee authorisation was obtained in May 2015, and findings from this study will be published in a peer-reviewed scientific journal and presented at national and international conferences.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“Prognosis assessment of persistent left bundle branch block after TAVI by an electrophysiological and remote monitoring risk-adapted algorithm: rationale and design of the multicentre LBBB–TAVI Study” provides an overview of the rationale, design, objectives, methods, analysis, strengths, limitations, ethics considerations, dissemination plans for the LBBB–TAVI Study. The article is well written and provides sufficient detail about the study design for readers to understand its purpose. </w:t>
      </w:r>
    </w:p>
    <w:p>
      <w:pPr>
        <w:jc w:val="both"/>
      </w:pPr>
      <w:r>
        <w:rPr/>
        <w:t xml:space="preserve">The article does not provide any information about potential biases or sources of bias that could affect the results of the study. It also does not mention any possible risks associated with participating in the study or any counterarguments that should be considered when interpreting its results. Additionally, there is no discussion about how partiality may affect the results or whether both sides are being presented equally. </w:t>
      </w:r>
    </w:p>
    <w:p>
      <w:pPr>
        <w:jc w:val="both"/>
      </w:pPr>
      <w:r>
        <w:rPr/>
        <w:t xml:space="preserve">In conclusion, while this article provides an overview of the rationale and design for the LBBB–TAVI Study, it does not provide sufficient detail about potential biases or risks associated with participating in it or how partiality may affect its results. Therefore, readers should consider these factors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biases in clinical studies </w:t>
      </w:r>
    </w:p>
    <w:p>
      <w:pPr>
        <w:spacing w:after="0"/>
        <w:numPr>
          <w:ilvl w:val="0"/>
          <w:numId w:val="2"/>
        </w:numPr>
      </w:pPr>
      <w:r>
        <w:rPr/>
        <w:t xml:space="preserve">Sources of bias in clinical studies </w:t>
      </w:r>
    </w:p>
    <w:p>
      <w:pPr>
        <w:spacing w:after="0"/>
        <w:numPr>
          <w:ilvl w:val="0"/>
          <w:numId w:val="2"/>
        </w:numPr>
      </w:pPr>
      <w:r>
        <w:rPr/>
        <w:t xml:space="preserve">Risks associated with clinical studies </w:t>
      </w:r>
    </w:p>
    <w:p>
      <w:pPr>
        <w:spacing w:after="0"/>
        <w:numPr>
          <w:ilvl w:val="0"/>
          <w:numId w:val="2"/>
        </w:numPr>
      </w:pPr>
      <w:r>
        <w:rPr/>
        <w:t xml:space="preserve">Counterarguments in clinical studies </w:t>
      </w:r>
    </w:p>
    <w:p>
      <w:pPr>
        <w:spacing w:after="0"/>
        <w:numPr>
          <w:ilvl w:val="0"/>
          <w:numId w:val="2"/>
        </w:numPr>
      </w:pPr>
      <w:r>
        <w:rPr/>
        <w:t xml:space="preserve">Partiality in clinical studies </w:t>
      </w:r>
    </w:p>
    <w:p>
      <w:pPr>
        <w:numPr>
          <w:ilvl w:val="0"/>
          <w:numId w:val="2"/>
        </w:numPr>
      </w:pPr>
      <w:r>
        <w:rPr/>
        <w:t xml:space="preserve">Interpreting results of clinical studies</w:t>
      </w:r>
    </w:p>
    <w:p>
      <w:pPr>
        <w:pStyle w:val="Heading1"/>
      </w:pPr>
      <w:bookmarkStart w:id="6" w:name="_Toc6"/>
      <w:r>
        <w:t>Report location:</w:t>
      </w:r>
      <w:bookmarkEnd w:id="6"/>
    </w:p>
    <w:p>
      <w:hyperlink r:id="rId8" w:history="1">
        <w:r>
          <w:rPr>
            <w:color w:val="2980b9"/>
            <w:u w:val="single"/>
          </w:rPr>
          <w:t xml:space="preserve">https://www.fullpicture.app/item/18c9c9ac61fd55f395bf10bde5d6b9ef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F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93384/" TargetMode="External"/><Relationship Id="rId8" Type="http://schemas.openxmlformats.org/officeDocument/2006/relationships/hyperlink" Target="https://www.fullpicture.app/item/18c9c9ac61fd55f395bf10bde5d6b9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2023-03-03T23:10:07+01:00</dcterms:created>
  <dcterms:modified xsi:type="dcterms:W3CDTF">2023-03-03T23:10:07+01:00</dcterms:modified>
</cp:coreProperties>
</file>

<file path=docProps/custom.xml><?xml version="1.0" encoding="utf-8"?>
<Properties xmlns="http://schemas.openxmlformats.org/officeDocument/2006/custom-properties" xmlns:vt="http://schemas.openxmlformats.org/officeDocument/2006/docPropsVTypes"/>
</file>