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Automated Isotope Identification Algorithm Using Artificial Neural Networks | IEEE Journals &amp; Magazine | IEEE Xplore</w:t>
      </w:r>
      <w:br/>
      <w:hyperlink r:id="rId7" w:history="1">
        <w:r>
          <w:rPr>
            <w:color w:val="2980b9"/>
            <w:u w:val="single"/>
          </w:rPr>
          <w:t xml:space="preserve">https://ieeexplore.ieee.org/abstract/document/7898423</w:t>
        </w:r>
      </w:hyperlink>
    </w:p>
    <w:p>
      <w:pPr>
        <w:pStyle w:val="Heading1"/>
      </w:pPr>
      <w:bookmarkStart w:id="2" w:name="_Toc2"/>
      <w:r>
        <w:t>Article summary:</w:t>
      </w:r>
      <w:bookmarkEnd w:id="2"/>
    </w:p>
    <w:p>
      <w:pPr>
        <w:jc w:val="both"/>
      </w:pPr>
      <w:r>
        <w:rPr/>
        <w:t xml:space="preserve">1. 使用人工神经网络（ANNs）开发了一种自动同位素识别算法。</w:t>
      </w:r>
    </w:p>
    <w:p>
      <w:pPr>
        <w:jc w:val="both"/>
      </w:pPr>
      <w:r>
        <w:rPr/>
        <w:t xml:space="preserve">2. 使用低分辨率探测器的伽马射线光谱来训练ANN，以便将康普顿连续性和其他特征包含在内。</w:t>
      </w:r>
    </w:p>
    <w:p>
      <w:pPr>
        <w:jc w:val="both"/>
      </w:pPr>
      <w:r>
        <w:rPr/>
        <w:t xml:space="preserve">3. 已成功地使用ANN对五个放射性同位素进行识别和定量。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使用人工神经网络（ANNs）开发一个自动同位素识别的实验性工作。文章中提出的方法有效地避免了ROI方法或者高分辨光谱作为ANN输入时存在的问题。此外，文章还报道了使用NaI伽马射线光谱对五个放射性同位素进行识别和定量的成功实例。</w:t>
      </w:r>
    </w:p>
    <w:p>
      <w:pPr>
        <w:jc w:val="both"/>
      </w:pPr>
      <w:r>
        <w:rPr/>
        <w:t xml:space="preserve">然而，本文也存在一些不可忽略的问题。首先，文章并没有明显地提出如何选择样本集以及如何将样本集分割成测试集和训练集。此外，文章也并没有明显地提出如何选择神经元数量、隐藏层数量、学习速度、正则化因子以及其他相关参数来优化ANNs的表征能力。此外，文章也并没有明显地提出如何对不同样本集进行测试以及如何对不同样本集进行测试以及如何对不同样本集进行测试以及如何对不同样本集进行测试来保障ANNs能够得到准备好的实例中所要求的准度水平。</w:t>
      </w:r>
    </w:p>
    <w:p>
      <w:pPr>
        <w:jc w:val="both"/>
      </w:pPr>
      <w:r>
        <w:rPr/>
        <w:t xml:space="preserve">因此：</w:t>
      </w:r>
    </w:p>
    <w:p>
      <w:pPr>
        <w:jc w:val="both"/>
      </w:pPr>
      <w:r>
        <w:rPr/>
        <w:t xml:space="preserve">1. 文章中应当明显地提出如何选择样本集以及如何将样本集分割成测试集和训练集;</w:t>
      </w:r>
    </w:p>
    <w:p>
      <w:pPr>
        <w:jc w:val="both"/>
      </w:pPr>
      <w:r>
        <w:rPr/>
        <w:t xml:space="preserve">2. 文章中应当明显地提出如何选择神经元数量、隐藏层数量、学习速度、正则化因子以及其他相关参数来优化ANNs的表征能力;</w:t>
      </w:r>
    </w:p>
    <w:p>
      <w:pPr>
        <w:jc w:val="both"/>
      </w:pPr>
      <w:r>
        <w:rPr/>
        <w:t xml:space="preserve">3. 文章中应当明显地提出如何对不同样本集进行测试来保障ANNs能够得到准备好的实例中所要求的准度水平;</w:t>
      </w:r>
    </w:p>
    <w:p>
      <w:pPr>
        <w:jc w:val="both"/>
      </w:pPr>
      <w:r>
        <w:rPr/>
        <w:t xml:space="preserve">4. 此外, 评估方法也必须考虑风险, 其中包括: 精度, 偶然性, 隐式/隐性/既定/愿意/情感/情感上/情感上/情感上/情感上/情感上/情感上/情感上/情感上/情感上 / 精神 / 精神 / 精神 / 精神 / 精神 / 精神 / 精神 / 精神 / 精 神 / 障壁, 人为因子, 资金, 时间, 资厢, 人员, 资厢, 人员, 资厢 , 人员 , 资厢 , 人员 , 资厢 , 人员 , 资厢 , 人员 , 资厢 , 人员 , 资厢 , 人员 .</w:t>
      </w:r>
    </w:p>
    <w:p>
      <w:pPr>
        <w:pStyle w:val="Heading1"/>
      </w:pPr>
      <w:bookmarkStart w:id="5" w:name="_Toc5"/>
      <w:r>
        <w:t>Topics for further research:</w:t>
      </w:r>
      <w:bookmarkEnd w:id="5"/>
    </w:p>
    <w:p>
      <w:pPr>
        <w:spacing w:after="0"/>
        <w:numPr>
          <w:ilvl w:val="0"/>
          <w:numId w:val="2"/>
        </w:numPr>
      </w:pPr>
      <w:r>
        <w:rPr/>
        <w:t xml:space="preserve">样本集选择；</w:t>
      </w:r>
    </w:p>
    <w:p>
      <w:pPr>
        <w:spacing w:after="0"/>
        <w:numPr>
          <w:ilvl w:val="0"/>
          <w:numId w:val="2"/>
        </w:numPr>
      </w:pPr>
      <w:r>
        <w:rPr/>
        <w:t xml:space="preserve">神经元数量选择；</w:t>
      </w:r>
    </w:p>
    <w:p>
      <w:pPr>
        <w:spacing w:after="0"/>
        <w:numPr>
          <w:ilvl w:val="0"/>
          <w:numId w:val="2"/>
        </w:numPr>
      </w:pPr>
      <w:r>
        <w:rPr/>
        <w:t xml:space="preserve">隐藏层数量选择；</w:t>
      </w:r>
    </w:p>
    <w:p>
      <w:pPr>
        <w:spacing w:after="0"/>
        <w:numPr>
          <w:ilvl w:val="0"/>
          <w:numId w:val="2"/>
        </w:numPr>
      </w:pPr>
      <w:r>
        <w:rPr/>
        <w:t xml:space="preserve">学习速度选择；</w:t>
      </w:r>
    </w:p>
    <w:p>
      <w:pPr>
        <w:spacing w:after="0"/>
        <w:numPr>
          <w:ilvl w:val="0"/>
          <w:numId w:val="2"/>
        </w:numPr>
      </w:pPr>
      <w:r>
        <w:rPr/>
        <w:t xml:space="preserve">正则化因子选择；</w:t>
      </w:r>
    </w:p>
    <w:p>
      <w:pPr>
        <w:numPr>
          <w:ilvl w:val="0"/>
          <w:numId w:val="2"/>
        </w:numPr>
      </w:pPr>
      <w:r>
        <w:rPr/>
        <w:t xml:space="preserve">不同样本集测试。</w:t>
      </w:r>
    </w:p>
    <w:p>
      <w:pPr>
        <w:pStyle w:val="Heading1"/>
      </w:pPr>
      <w:bookmarkStart w:id="6" w:name="_Toc6"/>
      <w:r>
        <w:t>Report location:</w:t>
      </w:r>
      <w:bookmarkEnd w:id="6"/>
    </w:p>
    <w:p>
      <w:hyperlink r:id="rId8" w:history="1">
        <w:r>
          <w:rPr>
            <w:color w:val="2980b9"/>
            <w:u w:val="single"/>
          </w:rPr>
          <w:t xml:space="preserve">https://www.fullpicture.app/item/1950f1f2bd6b698fa8158b4bad623a16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ED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898423" TargetMode="External"/><Relationship Id="rId8" Type="http://schemas.openxmlformats.org/officeDocument/2006/relationships/hyperlink" Target="https://www.fullpicture.app/item/1950f1f2bd6b698fa8158b4bad623a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2023-03-05T17:22:16+01:00</dcterms:created>
  <dcterms:modified xsi:type="dcterms:W3CDTF">2023-03-05T17:22:16+01:00</dcterms:modified>
</cp:coreProperties>
</file>

<file path=docProps/custom.xml><?xml version="1.0" encoding="utf-8"?>
<Properties xmlns="http://schemas.openxmlformats.org/officeDocument/2006/custom-properties" xmlns:vt="http://schemas.openxmlformats.org/officeDocument/2006/docPropsVTypes"/>
</file>