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Breast cancer phenotype influences MRI response evaluation after neoadjuvant chemotherapy - PubMed</w:t>
      </w:r>
      <w:br/>
      <w:hyperlink r:id="rId7" w:history="1">
        <w:r>
          <w:rPr>
            <w:color w:val="2980b9"/>
            <w:u w:val="single"/>
          </w:rPr>
          <w:t xml:space="preserve">https://pubmed.ncbi.nlm.nih.gov/31610321/</w:t>
        </w:r>
      </w:hyperlink>
    </w:p>
    <w:p>
      <w:pPr>
        <w:pStyle w:val="Heading1"/>
      </w:pPr>
      <w:bookmarkStart w:id="2" w:name="_Toc2"/>
      <w:r>
        <w:t>Article summary:</w:t>
      </w:r>
      <w:bookmarkEnd w:id="2"/>
    </w:p>
    <w:p>
      <w:pPr>
        <w:jc w:val="both"/>
      </w:pPr>
      <w:r>
        <w:rPr/>
        <w:t xml:space="preserve">1. 该研究评估了影响新辅助化疗后磁共振成像（MRI）在检测病理完全缓解（pCR）的因素。</w:t>
      </w:r>
    </w:p>
    <w:p>
      <w:pPr>
        <w:jc w:val="both"/>
      </w:pPr>
      <w:r>
        <w:rPr/>
        <w:t xml:space="preserve">2. MRI在预测新辅助化疗后乳腺癌患者的pCR方面表现出良好的准确性。</w:t>
      </w:r>
    </w:p>
    <w:p>
      <w:pPr>
        <w:jc w:val="both"/>
      </w:pPr>
      <w:r>
        <w:rPr/>
        <w:t xml:space="preserve">3. 在术前MRI中存在非肿块增强是影响MRI诊断新辅助化疗后治疗反应的一个负面因素。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研究，旨在评估影响新辅助化疗（NAC）后病理完全缓解（pCR）检测的因素。作者通过对219名诊断为浸润性乳腺癌的患者进行乳腺MRI检查，并将MRI结果与病理学检查结果进行比较，来评估MRI在预测pCR方面的准确性。结果显示，MRI在诊断pCR方面的准确率为80%，敏感性为69%，特异性为87%。</w:t>
      </w:r>
    </w:p>
    <w:p>
      <w:pPr>
        <w:jc w:val="both"/>
      </w:pPr>
      <w:r>
        <w:rPr/>
        <w:t xml:space="preserve"/>
      </w:r>
    </w:p>
    <w:p>
      <w:pPr>
        <w:jc w:val="both"/>
      </w:pPr>
      <w:r>
        <w:rPr/>
        <w:t xml:space="preserve">然而，这篇文章存在一些潜在的偏见和局限性。首先，这是一项回顾性研究，可能存在信息偏倚和选择偏倚。其次，样本量相对较小，并且只包括单个医疗中心的患者，可能不具有代表性。此外，在文章中并未提及是否进行了多中心研究或外部验证来增加结果的可靠性。</w:t>
      </w:r>
    </w:p>
    <w:p>
      <w:pPr>
        <w:jc w:val="both"/>
      </w:pPr>
      <w:r>
        <w:rPr/>
        <w:t xml:space="preserve"/>
      </w:r>
    </w:p>
    <w:p>
      <w:pPr>
        <w:jc w:val="both"/>
      </w:pPr>
      <w:r>
        <w:rPr/>
        <w:t xml:space="preserve">另一个问题是作者没有提供关于非肿块增强在术前MRI中如何影响MRI诊断效果的详细解释。虽然作者指出非肿块增强与MRI和病理学之间的不一致率显著相关，但他们没有进一步探讨这种关联的原因。这可能导致读者对于非肿块增强如何影响MRI诊断结果的理解不够清晰。</w:t>
      </w:r>
    </w:p>
    <w:p>
      <w:pPr>
        <w:jc w:val="both"/>
      </w:pPr>
      <w:r>
        <w:rPr/>
        <w:t xml:space="preserve"/>
      </w:r>
    </w:p>
    <w:p>
      <w:pPr>
        <w:jc w:val="both"/>
      </w:pPr>
      <w:r>
        <w:rPr/>
        <w:t xml:space="preserve">此外，文章中并未提及其他可能影响MRI性能的因素，如乳腺密度、肿瘤大小和位置等。这些因素在评估NAC后pCR的准确性时可能起到重要作用，但在这篇文章中被忽略了。</w:t>
      </w:r>
    </w:p>
    <w:p>
      <w:pPr>
        <w:jc w:val="both"/>
      </w:pPr>
      <w:r>
        <w:rPr/>
        <w:t xml:space="preserve"/>
      </w:r>
    </w:p>
    <w:p>
      <w:pPr>
        <w:jc w:val="both"/>
      </w:pPr>
      <w:r>
        <w:rPr/>
        <w:t xml:space="preserve">最后，文章没有提供关于MRI在评估治疗反应后存在的潜在风险或局限性的讨论。MRI是一种昂贵且侵入性较小的检查方法，可能会给患者带来不必要的焦虑和经济负担。此外，MRI结果也可能受到操作者技术水平和设备质量等因素的影响。</w:t>
      </w:r>
    </w:p>
    <w:p>
      <w:pPr>
        <w:jc w:val="both"/>
      </w:pPr>
      <w:r>
        <w:rPr/>
        <w:t xml:space="preserve"/>
      </w:r>
    </w:p>
    <w:p>
      <w:pPr>
        <w:jc w:val="both"/>
      </w:pPr>
      <w:r>
        <w:rPr/>
        <w:t xml:space="preserve">综上所述，尽管这篇文章提供了有关MRI在预测NAC后pCR方面准确性的初步信息，但它存在一些潜在偏见和局限性。进一步研究需要更大样本量、多中心设计，并考虑其他可能影响MRI性能的因素。此外，在使用MRI评估治疗反应时应注意其潜在风险和局限性，并进行全面而客观地讨论。</w:t>
      </w:r>
    </w:p>
    <w:p>
      <w:pPr>
        <w:pStyle w:val="Heading1"/>
      </w:pPr>
      <w:bookmarkStart w:id="5" w:name="_Toc5"/>
      <w:r>
        <w:t>Topics for further research:</w:t>
      </w:r>
      <w:bookmarkEnd w:id="5"/>
    </w:p>
    <w:p>
      <w:pPr>
        <w:spacing w:after="0"/>
        <w:numPr>
          <w:ilvl w:val="0"/>
          <w:numId w:val="2"/>
        </w:numPr>
      </w:pPr>
      <w:r>
        <w:rPr/>
        <w:t xml:space="preserve">信息偏倚和选择偏倚
</w:t>
      </w:r>
    </w:p>
    <w:p>
      <w:pPr>
        <w:spacing w:after="0"/>
        <w:numPr>
          <w:ilvl w:val="0"/>
          <w:numId w:val="2"/>
        </w:numPr>
      </w:pPr>
      <w:r>
        <w:rPr/>
        <w:t xml:space="preserve">样本量相对较小
</w:t>
      </w:r>
    </w:p>
    <w:p>
      <w:pPr>
        <w:spacing w:after="0"/>
        <w:numPr>
          <w:ilvl w:val="0"/>
          <w:numId w:val="2"/>
        </w:numPr>
      </w:pPr>
      <w:r>
        <w:rPr/>
        <w:t xml:space="preserve">单个医疗中心的患者可能不具有代表性
</w:t>
      </w:r>
    </w:p>
    <w:p>
      <w:pPr>
        <w:spacing w:after="0"/>
        <w:numPr>
          <w:ilvl w:val="0"/>
          <w:numId w:val="2"/>
        </w:numPr>
      </w:pPr>
      <w:r>
        <w:rPr/>
        <w:t xml:space="preserve">缺乏多中心研究或外部验证
</w:t>
      </w:r>
    </w:p>
    <w:p>
      <w:pPr>
        <w:spacing w:after="0"/>
        <w:numPr>
          <w:ilvl w:val="0"/>
          <w:numId w:val="2"/>
        </w:numPr>
      </w:pPr>
      <w:r>
        <w:rPr/>
        <w:t xml:space="preserve">对非肿块增强如何影响MRI诊断结果的解释不清晰
</w:t>
      </w:r>
    </w:p>
    <w:p>
      <w:pPr>
        <w:numPr>
          <w:ilvl w:val="0"/>
          <w:numId w:val="2"/>
        </w:numPr>
      </w:pPr>
      <w:r>
        <w:rPr/>
        <w:t xml:space="preserve">忽略了其他可能影响MRI性能的因素</w:t>
      </w:r>
    </w:p>
    <w:p>
      <w:pPr>
        <w:pStyle w:val="Heading1"/>
      </w:pPr>
      <w:bookmarkStart w:id="6" w:name="_Toc6"/>
      <w:r>
        <w:t>Report location:</w:t>
      </w:r>
      <w:bookmarkEnd w:id="6"/>
    </w:p>
    <w:p>
      <w:hyperlink r:id="rId8" w:history="1">
        <w:r>
          <w:rPr>
            <w:color w:val="2980b9"/>
            <w:u w:val="single"/>
          </w:rPr>
          <w:t xml:space="preserve">https://www.fullpicture.app/item/1a0942c32075527c2136676f5eb1e6fe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03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610321/" TargetMode="External"/><Relationship Id="rId8" Type="http://schemas.openxmlformats.org/officeDocument/2006/relationships/hyperlink" Target="https://www.fullpicture.app/item/1a0942c32075527c2136676f5eb1e6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2024-01-16T14:18:25+01:00</dcterms:created>
  <dcterms:modified xsi:type="dcterms:W3CDTF">2024-01-16T14:18:25+01:00</dcterms:modified>
</cp:coreProperties>
</file>

<file path=docProps/custom.xml><?xml version="1.0" encoding="utf-8"?>
<Properties xmlns="http://schemas.openxmlformats.org/officeDocument/2006/custom-properties" xmlns:vt="http://schemas.openxmlformats.org/officeDocument/2006/docPropsVTypes"/>
</file>