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威科集团指标突出重大风险和监管合规问题|威科集团</w:t>
      </w:r>
      <w:br/>
      <w:hyperlink r:id="rId7" w:history="1">
        <w:r>
          <w:rPr>
            <w:color w:val="2980b9"/>
            <w:u w:val="single"/>
          </w:rPr>
          <w:t xml:space="preserve">https://www.wolterskluwer.com/en/news/wolters-kluwer-indicator-pain-index-highlights-significant-risk-and-regulatory-compliance-concerns</w:t>
        </w:r>
      </w:hyperlink>
    </w:p>
    <w:p>
      <w:pPr>
        <w:pStyle w:val="Heading1"/>
      </w:pPr>
      <w:bookmarkStart w:id="2" w:name="_Toc2"/>
      <w:r>
        <w:t>Article summary:</w:t>
      </w:r>
      <w:bookmarkEnd w:id="2"/>
    </w:p>
    <w:p>
      <w:pPr>
        <w:jc w:val="both"/>
      </w:pPr>
      <w:r>
        <w:rPr/>
        <w:t xml:space="preserve">1. The 10th annual survey showed that managing regulatory changes and concerns about new regulations are the main challenges faced by banks, credit unions, and other lenders.</w:t>
      </w:r>
    </w:p>
    <w:p>
      <w:pPr>
        <w:jc w:val="both"/>
      </w:pPr>
      <w:r>
        <w:rPr/>
        <w:t xml:space="preserve">2. The survey results produced a “pain index” for regulatory and risk management, with the primary score based on several factors including the number of new federal regulations, enforcement actions, fines levied against banks and credit unions in the past few months, and survey respondent opinions.</w:t>
      </w:r>
    </w:p>
    <w:p>
      <w:pPr>
        <w:jc w:val="both"/>
      </w:pPr>
      <w:r>
        <w:rPr/>
        <w:t xml:space="preserve">3. Concerns about new regulations have increased significantly from 2021 to 114 points this year, largely due to decreased amounts of fines and enforcement actions.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findings from the 10th annual survey conducted by Wick Group Compliance Solutions on regulatory and risk management indicators for US banking institutions. The article provides detailed information on the survey results, including a “pain index” for regulatory and risk management based on several factors such as number of new federal regulations, enforcement actions, fines levied against banks and credit unions in the past few months, and survey respondent opinions. It also discusses concerns about new regulations increasing significantly from 2021 to 114 points this year due to decreased amounts of fines and enforcement actions. </w:t>
      </w:r>
    </w:p>
    <w:p>
      <w:pPr>
        <w:jc w:val="both"/>
      </w:pPr>
      <w:r>
        <w:rPr/>
        <w:t xml:space="preserve">However, there are some potential biases in the article that should be noted. For example, it does not provide any counterarguments or alternative perspectives on the findings from the survey or discuss any possible risks associated with them. Additionally, it does not present both sides equally when discussing potential solutions to these issues; instead it focuses primarily on digital transformation as a solution without exploring other options or considering potential drawbacks of this approach. Furthermore, there is some promotional content included in the article which could be seen as biased towards Wick Group Compliance Solutions’ services. </w:t>
      </w:r>
    </w:p>
    <w:p>
      <w:pPr>
        <w:jc w:val="both"/>
      </w:pPr>
      <w:r>
        <w:rPr/>
        <w:t xml:space="preserve">In conclusion, while overall reliable in its reporting of survey findings related to regulatory and risk management indicators for US banking institutions, there are some potential biases present in this article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Regulatory risk management strategies</w:t>
      </w:r>
    </w:p>
    <w:p>
      <w:pPr>
        <w:spacing w:after="0"/>
        <w:numPr>
          <w:ilvl w:val="0"/>
          <w:numId w:val="2"/>
        </w:numPr>
      </w:pPr>
      <w:r>
        <w:rPr/>
        <w:t xml:space="preserve">Regulatory compliance solutions</w:t>
      </w:r>
    </w:p>
    <w:p>
      <w:pPr>
        <w:spacing w:after="0"/>
        <w:numPr>
          <w:ilvl w:val="0"/>
          <w:numId w:val="2"/>
        </w:numPr>
      </w:pPr>
      <w:r>
        <w:rPr/>
        <w:t xml:space="preserve">Digital transformation in banking</w:t>
      </w:r>
    </w:p>
    <w:p>
      <w:pPr>
        <w:spacing w:after="0"/>
        <w:numPr>
          <w:ilvl w:val="0"/>
          <w:numId w:val="2"/>
        </w:numPr>
      </w:pPr>
      <w:r>
        <w:rPr/>
        <w:t xml:space="preserve">Impact of new regulations on banking</w:t>
      </w:r>
    </w:p>
    <w:p>
      <w:pPr>
        <w:spacing w:after="0"/>
        <w:numPr>
          <w:ilvl w:val="0"/>
          <w:numId w:val="2"/>
        </w:numPr>
      </w:pPr>
      <w:r>
        <w:rPr/>
        <w:t xml:space="preserve">Enforcement actions against banks</w:t>
      </w:r>
    </w:p>
    <w:p>
      <w:pPr>
        <w:numPr>
          <w:ilvl w:val="0"/>
          <w:numId w:val="2"/>
        </w:numPr>
      </w:pPr>
      <w:r>
        <w:rPr/>
        <w:t xml:space="preserve">Fines levied against banks and credit unions</w:t>
      </w:r>
    </w:p>
    <w:p>
      <w:pPr>
        <w:pStyle w:val="Heading1"/>
      </w:pPr>
      <w:bookmarkStart w:id="6" w:name="_Toc6"/>
      <w:r>
        <w:t>Report location:</w:t>
      </w:r>
      <w:bookmarkEnd w:id="6"/>
    </w:p>
    <w:p>
      <w:hyperlink r:id="rId8" w:history="1">
        <w:r>
          <w:rPr>
            <w:color w:val="2980b9"/>
            <w:u w:val="single"/>
          </w:rPr>
          <w:t xml:space="preserve">https://www.fullpicture.app/item/1ad88278e73c218f1b98baaf33e1dff3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5A6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lterskluwer.com/en/news/wolters-kluwer-indicator-pain-index-highlights-significant-risk-and-regulatory-compliance-concerns" TargetMode="External"/><Relationship Id="rId8" Type="http://schemas.openxmlformats.org/officeDocument/2006/relationships/hyperlink" Target="https://www.fullpicture.app/item/1ad88278e73c218f1b98baaf33e1df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2023-02-19T17:38:54+01:00</dcterms:created>
  <dcterms:modified xsi:type="dcterms:W3CDTF">2023-02-19T17:38:54+01:00</dcterms:modified>
</cp:coreProperties>
</file>

<file path=docProps/custom.xml><?xml version="1.0" encoding="utf-8"?>
<Properties xmlns="http://schemas.openxmlformats.org/officeDocument/2006/custom-properties" xmlns:vt="http://schemas.openxmlformats.org/officeDocument/2006/docPropsVTypes"/>
</file>