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State of The Graph Q4 2022 | Messari</w:t>
      </w:r>
      <w:br/>
      <w:hyperlink r:id="rId7" w:history="1">
        <w:r>
          <w:rPr>
            <w:color w:val="2980b9"/>
            <w:u w:val="single"/>
          </w:rPr>
          <w:t xml:space="preserve">https://messari.io/report/state-of-the-graph-q4-2022</w:t>
        </w:r>
      </w:hyperlink>
    </w:p>
    <w:p>
      <w:pPr>
        <w:pStyle w:val="Heading1"/>
      </w:pPr>
      <w:bookmarkStart w:id="2" w:name="_Toc2"/>
      <w:r>
        <w:t>Article summary:</w:t>
      </w:r>
      <w:bookmarkEnd w:id="2"/>
    </w:p>
    <w:p>
      <w:pPr>
        <w:jc w:val="both"/>
      </w:pPr>
      <w:r>
        <w:rPr/>
        <w:t xml:space="preserve">1. The Graph's ecosystem of Indexers, Delegators, and Curators has grown significantly in Q4'22.</w:t>
      </w:r>
    </w:p>
    <w:p>
      <w:pPr>
        <w:jc w:val="both"/>
      </w:pPr>
      <w:r>
        <w:rPr/>
        <w:t xml:space="preserve">2. The Graph experienced a 66% QoQ increase in GRT revenue from query fees and a 12% QoQ increase in indexing rewards.</w:t>
      </w:r>
    </w:p>
    <w:p>
      <w:pPr>
        <w:jc w:val="both"/>
      </w:pPr>
      <w:r>
        <w:rPr/>
        <w:t xml:space="preserve">3. The Graph's Multi-Chain Incentivized Program (MIP) is aimed to fund 75 million GRT to Indexers supporting new chains on the decentralized network.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state of The Graph protocol as of Q4 2022, including key metrics such as subgraphs, query fees, indexing rewards, and ecosystem participation. It is generally well-written and provides a comprehensive overview of the protocol’s performance over the past six quarters. </w:t>
      </w:r>
    </w:p>
    <w:p>
      <w:pPr>
        <w:jc w:val="both"/>
      </w:pPr>
      <w:r>
        <w:rPr/>
        <w:t xml:space="preserve">However, there are some potential biases that should be noted when considering the trustworthiness and reliability of this article. Firstly, it does not provide any counterarguments or explore any potential risks associated with The Graph protocol. Secondly, it does not present both sides equally; instead it focuses solely on the positive aspects of The Graph’s performance without exploring any potential drawbacks or challenges that may arise in the future. Thirdly, it does not provide any evidence for its claims or cite any sources for its data points; thus making it difficult to verify its accuracy or trustworthiness. Finally, there is a lack of detail regarding how exactly The Graph’s Multi-Chain Incentivized Program (MIP) works and what benefits it will bring to Indexers supporting new chains on the decentralized network. </w:t>
      </w:r>
    </w:p>
    <w:p>
      <w:pPr>
        <w:jc w:val="both"/>
      </w:pPr>
      <w:r>
        <w:rPr/>
        <w:t xml:space="preserve">In conclusion, while this article provides an informative overview of The Graph’s performance as of Q4 2022,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Multi-Chain Incentivized Program (MIP)</w:t>
      </w:r>
    </w:p>
    <w:p>
      <w:pPr>
        <w:spacing w:after="0"/>
        <w:numPr>
          <w:ilvl w:val="0"/>
          <w:numId w:val="2"/>
        </w:numPr>
      </w:pPr>
      <w:r>
        <w:rPr/>
        <w:t xml:space="preserve">The Graph protocol risks</w:t>
      </w:r>
    </w:p>
    <w:p>
      <w:pPr>
        <w:spacing w:after="0"/>
        <w:numPr>
          <w:ilvl w:val="0"/>
          <w:numId w:val="2"/>
        </w:numPr>
      </w:pPr>
      <w:r>
        <w:rPr/>
        <w:t xml:space="preserve">The Graph protocol drawbacks</w:t>
      </w:r>
    </w:p>
    <w:p>
      <w:pPr>
        <w:spacing w:after="0"/>
        <w:numPr>
          <w:ilvl w:val="0"/>
          <w:numId w:val="2"/>
        </w:numPr>
      </w:pPr>
      <w:r>
        <w:rPr/>
        <w:t xml:space="preserve">Indexers supporting new chains</w:t>
      </w:r>
    </w:p>
    <w:p>
      <w:pPr>
        <w:spacing w:after="0"/>
        <w:numPr>
          <w:ilvl w:val="0"/>
          <w:numId w:val="2"/>
        </w:numPr>
      </w:pPr>
      <w:r>
        <w:rPr/>
        <w:t xml:space="preserve">The Graph protocol evidence</w:t>
      </w:r>
    </w:p>
    <w:p>
      <w:pPr>
        <w:numPr>
          <w:ilvl w:val="0"/>
          <w:numId w:val="2"/>
        </w:numPr>
      </w:pPr>
      <w:r>
        <w:rPr/>
        <w:t xml:space="preserve">The Graph protocol sources</w:t>
      </w:r>
    </w:p>
    <w:p>
      <w:pPr>
        <w:pStyle w:val="Heading1"/>
      </w:pPr>
      <w:bookmarkStart w:id="6" w:name="_Toc6"/>
      <w:r>
        <w:t>Report location:</w:t>
      </w:r>
      <w:bookmarkEnd w:id="6"/>
    </w:p>
    <w:p>
      <w:hyperlink r:id="rId8" w:history="1">
        <w:r>
          <w:rPr>
            <w:color w:val="2980b9"/>
            <w:u w:val="single"/>
          </w:rPr>
          <w:t xml:space="preserve">https://www.fullpicture.app/item/1adafbf18b321c01e7a61c405402d70d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B7D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ssari.io/report/state-of-the-graph-q4-2022" TargetMode="External"/><Relationship Id="rId8" Type="http://schemas.openxmlformats.org/officeDocument/2006/relationships/hyperlink" Target="https://www.fullpicture.app/item/1adafbf18b321c01e7a61c405402d7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2023-03-04T14:19:46+01:00</dcterms:created>
  <dcterms:modified xsi:type="dcterms:W3CDTF">2023-03-04T14:19:46+01:00</dcterms:modified>
</cp:coreProperties>
</file>

<file path=docProps/custom.xml><?xml version="1.0" encoding="utf-8"?>
<Properties xmlns="http://schemas.openxmlformats.org/officeDocument/2006/custom-properties" xmlns:vt="http://schemas.openxmlformats.org/officeDocument/2006/docPropsVTypes"/>
</file>