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Than What It Seems': How Critical Theory, Popular Engagement and Apps Like Tinder Can Help Us Reframe Metadata and Its Consequences | International Conference on Dublin Core and Metadata Applications</w:t>
      </w:r>
      <w:br/>
      <w:hyperlink r:id="rId7" w:history="1">
        <w:r>
          <w:rPr>
            <w:color w:val="2980b9"/>
            <w:u w:val="single"/>
          </w:rPr>
          <w:t xml:space="preserve">https://dcpapers.dublincore.org/pubs/article/view/3849</w:t>
        </w:r>
      </w:hyperlink>
    </w:p>
    <w:p>
      <w:pPr>
        <w:pStyle w:val="Heading1"/>
      </w:pPr>
      <w:bookmarkStart w:id="2" w:name="_Toc2"/>
      <w:r>
        <w:t>Article summary:</w:t>
      </w:r>
      <w:bookmarkEnd w:id="2"/>
    </w:p>
    <w:p>
      <w:pPr>
        <w:jc w:val="both"/>
      </w:pPr>
      <w:r>
        <w:rPr/>
        <w:t xml:space="preserve">1. This article examines how critical theory, popular engagement and apps like Tinder can help reframe metadata and its consequences.</w:t>
      </w:r>
    </w:p>
    <w:p>
      <w:pPr>
        <w:jc w:val="both"/>
      </w:pPr>
      <w:r>
        <w:rPr/>
        <w:t xml:space="preserve">2. It uses problematization and critical theory constructs to examine the popular dating site Tinder as a form of metadata.</w:t>
      </w:r>
    </w:p>
    <w:p>
      <w:pPr>
        <w:jc w:val="both"/>
      </w:pPr>
      <w:r>
        <w:rPr/>
        <w:t xml:space="preserve">3. The article hopes to provide companion methods for reading metadata-dependent systems as ‘material metadata discourse’, while also showing that popular discourse can cast back onto professional practice in a meaningful 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are both experts in their field, making it reliable in terms of the content presented. The authors have provided evidence for their claims and have explored counterarguments, making the article balanced and impartial. They have also noted potential risks associated with using apps like Tinder, which adds to the trustworthiness of the article. </w:t>
      </w:r>
    </w:p>
    <w:p>
      <w:pPr>
        <w:jc w:val="both"/>
      </w:pPr>
      <w:r>
        <w:rPr/>
        <w:t xml:space="preserve">The only potential bias present in the article is that it does not explore other forms of metadata or other apps that could be used to reframe metadata and its consequences. This could be seen as a limitation of the article, but overall it is well-researched and provides an interesting perspective on how critical theory can be used to reframe metadata and its implications in digitally-mediated identity construction.</w:t>
      </w:r>
    </w:p>
    <w:p>
      <w:pPr>
        <w:pStyle w:val="Heading1"/>
      </w:pPr>
      <w:bookmarkStart w:id="5" w:name="_Toc5"/>
      <w:r>
        <w:t>Topics for further research:</w:t>
      </w:r>
      <w:bookmarkEnd w:id="5"/>
    </w:p>
    <w:p>
      <w:pPr>
        <w:spacing w:after="0"/>
        <w:numPr>
          <w:ilvl w:val="0"/>
          <w:numId w:val="2"/>
        </w:numPr>
      </w:pPr>
      <w:r>
        <w:rPr/>
        <w:t xml:space="preserve">Digital identity construction</w:t>
      </w:r>
    </w:p>
    <w:p>
      <w:pPr>
        <w:spacing w:after="0"/>
        <w:numPr>
          <w:ilvl w:val="0"/>
          <w:numId w:val="2"/>
        </w:numPr>
      </w:pPr>
      <w:r>
        <w:rPr/>
        <w:t xml:space="preserve">Metadata implications</w:t>
      </w:r>
    </w:p>
    <w:p>
      <w:pPr>
        <w:spacing w:after="0"/>
        <w:numPr>
          <w:ilvl w:val="0"/>
          <w:numId w:val="2"/>
        </w:numPr>
      </w:pPr>
      <w:r>
        <w:rPr/>
        <w:t xml:space="preserve">Critical theory applications</w:t>
      </w:r>
    </w:p>
    <w:p>
      <w:pPr>
        <w:spacing w:after="0"/>
        <w:numPr>
          <w:ilvl w:val="0"/>
          <w:numId w:val="2"/>
        </w:numPr>
      </w:pPr>
      <w:r>
        <w:rPr/>
        <w:t xml:space="preserve">Online dating apps</w:t>
      </w:r>
    </w:p>
    <w:p>
      <w:pPr>
        <w:spacing w:after="0"/>
        <w:numPr>
          <w:ilvl w:val="0"/>
          <w:numId w:val="2"/>
        </w:numPr>
      </w:pPr>
      <w:r>
        <w:rPr/>
        <w:t xml:space="preserve">Online privacy risks</w:t>
      </w:r>
    </w:p>
    <w:p>
      <w:pPr>
        <w:numPr>
          <w:ilvl w:val="0"/>
          <w:numId w:val="2"/>
        </w:numPr>
      </w:pPr>
      <w:r>
        <w:rPr/>
        <w:t xml:space="preserve">Alternative data sources</w:t>
      </w:r>
    </w:p>
    <w:p>
      <w:pPr>
        <w:pStyle w:val="Heading1"/>
      </w:pPr>
      <w:bookmarkStart w:id="6" w:name="_Toc6"/>
      <w:r>
        <w:t>Report location:</w:t>
      </w:r>
      <w:bookmarkEnd w:id="6"/>
    </w:p>
    <w:p>
      <w:hyperlink r:id="rId8" w:history="1">
        <w:r>
          <w:rPr>
            <w:color w:val="2980b9"/>
            <w:u w:val="single"/>
          </w:rPr>
          <w:t xml:space="preserve">https://www.fullpicture.app/item/1baccad35ad0176ab0c12d4ec8e3374f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71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cpapers.dublincore.org/pubs/article/view/3849" TargetMode="External"/><Relationship Id="rId8" Type="http://schemas.openxmlformats.org/officeDocument/2006/relationships/hyperlink" Target="https://www.fullpicture.app/item/1baccad35ad0176ab0c12d4ec8e337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2023-02-24T06:16:00+01:00</dcterms:created>
  <dcterms:modified xsi:type="dcterms:W3CDTF">2023-02-24T06:16:00+01:00</dcterms:modified>
</cp:coreProperties>
</file>

<file path=docProps/custom.xml><?xml version="1.0" encoding="utf-8"?>
<Properties xmlns="http://schemas.openxmlformats.org/officeDocument/2006/custom-properties" xmlns:vt="http://schemas.openxmlformats.org/officeDocument/2006/docPropsVTypes"/>
</file>