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E3 ligase autoinhibition by C-degron mimicry maintains C-degron substrate fidelity: Molecular Cell</w:t>
      </w:r>
      <w:br/>
      <w:hyperlink r:id="rId7" w:history="1">
        <w:r>
          <w:rPr>
            <w:color w:val="2980b9"/>
            <w:u w:val="single"/>
          </w:rPr>
          <w:t xml:space="preserve">https://www.cell.com/molecular-cell/fulltext/S1097-2765(23)00042-4?_returnURL=https%3A%2F%2Flinkinghub.elsevier.com%2Fretrieve%2Fpii%2FS1097276523000424%3Fshowall%3Dtrue</w:t>
        </w:r>
      </w:hyperlink>
    </w:p>
    <w:p>
      <w:pPr>
        <w:pStyle w:val="Heading1"/>
      </w:pPr>
      <w:bookmarkStart w:id="2" w:name="_Toc2"/>
      <w:r>
        <w:t>Article summary:</w:t>
      </w:r>
      <w:bookmarkEnd w:id="2"/>
    </w:p>
    <w:p>
      <w:pPr>
        <w:jc w:val="both"/>
      </w:pPr>
      <w:r>
        <w:rPr/>
        <w:t xml:space="preserve">1. 人类KLHDC2是一个CRL2底物受体，通过自我组装实现自我抑制，其C端Gly-Ser模拟degron并与另一个亚基的底物结合域相互作用。真正的底物可以捕获单体CRL2KLHDC2，通过neddylation驱动E3激活并随后进行底物泛素化。</w:t>
      </w:r>
    </w:p>
    <w:p>
      <w:pPr>
        <w:jc w:val="both"/>
      </w:pPr>
      <w:r>
        <w:rPr/>
        <w:t xml:space="preserve">2. 非底物如NEDD8具有高亲和力，但其缓慢的速率阻止了与CRL2KLHDC2的有效结合。没有底物时，neddylated的CRL2KLHDC2组装体通过不同机制被失活：单体通过去neddylation而四聚体则通过自身泛素化。</w:t>
      </w:r>
    </w:p>
    <w:p>
      <w:pPr>
        <w:jc w:val="both"/>
      </w:pPr>
      <w:r>
        <w:rPr/>
        <w:t xml:space="preserve">3. KLHDC2自我组装起到分子计时器的作用，只有真正的底物在E3 ligase失活之前才能结合。这种方式增强了底物特异性。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作为一篇科学研究论文，该文章并没有明显的偏见或宣传内容。然而，可能存在一些片面报道和缺失的考虑点。</w:t>
      </w:r>
    </w:p>
    <w:p>
      <w:pPr>
        <w:jc w:val="both"/>
      </w:pPr>
      <w:r>
        <w:rPr/>
        <w:t xml:space="preserve"/>
      </w:r>
    </w:p>
    <w:p>
      <w:pPr>
        <w:jc w:val="both"/>
      </w:pPr>
      <w:r>
        <w:rPr/>
        <w:t xml:space="preserve">首先，文章只关注了KLHDC2作为CRL2底物受体的自我组装机制，并没有探讨其他可能影响其底物特异性的因素。这可能导致读者对该机制在整个蛋白质降解过程中的重要性有所误解。</w:t>
      </w:r>
    </w:p>
    <w:p>
      <w:pPr>
        <w:jc w:val="both"/>
      </w:pPr>
      <w:r>
        <w:rPr/>
        <w:t xml:space="preserve"/>
      </w:r>
    </w:p>
    <w:p>
      <w:pPr>
        <w:jc w:val="both"/>
      </w:pPr>
      <w:r>
        <w:rPr/>
        <w:t xml:space="preserve">其次，文章提出了一个新颖的概念，即KLHDC2自我组装起到了分子计时器的作用，只有真正的底物才能在E3连接酶失活之前结合。然而，该论断仅基于作者们进行的实验结果，并未提供足够的证据来支持这一理论。</w:t>
      </w:r>
    </w:p>
    <w:p>
      <w:pPr>
        <w:jc w:val="both"/>
      </w:pPr>
      <w:r>
        <w:rPr/>
        <w:t xml:space="preserve"/>
      </w:r>
    </w:p>
    <w:p>
      <w:pPr>
        <w:jc w:val="both"/>
      </w:pPr>
      <w:r>
        <w:rPr/>
        <w:t xml:space="preserve">此外，在文章中也没有探讨KLHDC2自我组装机制是否会对蛋白质降解过程中可能存在的风险产生影响。例如，如果KLHDC2无法正确识别某些非底物蛋白质，则可能会导致错误地将其标记为废弃物并进行降解。</w:t>
      </w:r>
    </w:p>
    <w:p>
      <w:pPr>
        <w:jc w:val="both"/>
      </w:pPr>
      <w:r>
        <w:rPr/>
        <w:t xml:space="preserve"/>
      </w:r>
    </w:p>
    <w:p>
      <w:pPr>
        <w:jc w:val="both"/>
      </w:pPr>
      <w:r>
        <w:rPr/>
        <w:t xml:space="preserve">最后，在文章中也没有平等地呈现双方观点或进行反驳。这是因为该文章是一篇科学研究论文，而不是辩论或争议性文章。因此，其目的是提供实验结果和结论，而不是探讨不同观点之间的争议。</w:t>
      </w:r>
    </w:p>
    <w:p>
      <w:pPr>
        <w:jc w:val="both"/>
      </w:pPr>
      <w:r>
        <w:rPr/>
        <w:t xml:space="preserve"/>
      </w:r>
    </w:p>
    <w:p>
      <w:pPr>
        <w:jc w:val="both"/>
      </w:pPr>
      <w:r>
        <w:rPr/>
        <w:t xml:space="preserve">总之，该文章并没有明显的偏见或宣传内容，但可能存在一些片面报道和缺失的考虑点。读者应该谨慎评估其结论，并在需要时寻找其他来源来获取更全面的信息。</w:t>
      </w:r>
    </w:p>
    <w:p>
      <w:pPr>
        <w:pStyle w:val="Heading1"/>
      </w:pPr>
      <w:bookmarkStart w:id="5" w:name="_Toc5"/>
      <w:r>
        <w:t>Topics for further research:</w:t>
      </w:r>
      <w:bookmarkEnd w:id="5"/>
    </w:p>
    <w:p>
      <w:pPr>
        <w:spacing w:after="0"/>
        <w:numPr>
          <w:ilvl w:val="0"/>
          <w:numId w:val="2"/>
        </w:numPr>
      </w:pPr>
      <w:r>
        <w:rPr/>
        <w:t xml:space="preserve">Other factors affecting substrate specificity of KLHDC2
</w:t>
      </w:r>
    </w:p>
    <w:p>
      <w:pPr>
        <w:spacing w:after="0"/>
        <w:numPr>
          <w:ilvl w:val="0"/>
          <w:numId w:val="2"/>
        </w:numPr>
      </w:pPr>
      <w:r>
        <w:rPr/>
        <w:t xml:space="preserve">Evidence supporting the molecular timer concept
</w:t>
      </w:r>
    </w:p>
    <w:p>
      <w:pPr>
        <w:spacing w:after="0"/>
        <w:numPr>
          <w:ilvl w:val="0"/>
          <w:numId w:val="2"/>
        </w:numPr>
      </w:pPr>
      <w:r>
        <w:rPr/>
        <w:t xml:space="preserve">Potential risks of KLHDC2 self-assembly mechanism in protein degradation
</w:t>
      </w:r>
    </w:p>
    <w:p>
      <w:pPr>
        <w:spacing w:after="0"/>
        <w:numPr>
          <w:ilvl w:val="0"/>
          <w:numId w:val="2"/>
        </w:numPr>
      </w:pPr>
      <w:r>
        <w:rPr/>
        <w:t xml:space="preserve">Counterarguments or alternative perspectives on the findings
</w:t>
      </w:r>
    </w:p>
    <w:p>
      <w:pPr>
        <w:spacing w:after="0"/>
        <w:numPr>
          <w:ilvl w:val="0"/>
          <w:numId w:val="2"/>
        </w:numPr>
      </w:pPr>
      <w:r>
        <w:rPr/>
        <w:t xml:space="preserve">Limitations of the study and future research directions
</w:t>
      </w:r>
    </w:p>
    <w:p>
      <w:pPr>
        <w:numPr>
          <w:ilvl w:val="0"/>
          <w:numId w:val="2"/>
        </w:numPr>
      </w:pPr>
      <w:r>
        <w:rPr/>
        <w:t xml:space="preserve">Implications of the study for understanding protein degradation mechanisms</w:t>
      </w:r>
    </w:p>
    <w:p>
      <w:pPr>
        <w:pStyle w:val="Heading1"/>
      </w:pPr>
      <w:bookmarkStart w:id="6" w:name="_Toc6"/>
      <w:r>
        <w:t>Report location:</w:t>
      </w:r>
      <w:bookmarkEnd w:id="6"/>
    </w:p>
    <w:p>
      <w:hyperlink r:id="rId8" w:history="1">
        <w:r>
          <w:rPr>
            <w:color w:val="2980b9"/>
            <w:u w:val="single"/>
          </w:rPr>
          <w:t xml:space="preserve">https://www.fullpicture.app/item/1ca64afc0d9666e1464acfad256d299a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07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molecular-cell/fulltext/S1097-2765(23)00042-4?_returnURL=https%3A%2F%2Flinkinghub.elsevier.com%2Fretrieve%2Fpii%2FS1097276523000424%3Fshowall%3Dtrue" TargetMode="External"/><Relationship Id="rId8" Type="http://schemas.openxmlformats.org/officeDocument/2006/relationships/hyperlink" Target="https://www.fullpicture.app/item/1ca64afc0d9666e1464acfad256d2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2024-01-07T17:30:15+01:00</dcterms:created>
  <dcterms:modified xsi:type="dcterms:W3CDTF">2024-01-07T17:30:15+01:00</dcterms:modified>
</cp:coreProperties>
</file>

<file path=docProps/custom.xml><?xml version="1.0" encoding="utf-8"?>
<Properties xmlns="http://schemas.openxmlformats.org/officeDocument/2006/custom-properties" xmlns:vt="http://schemas.openxmlformats.org/officeDocument/2006/docPropsVTypes"/>
</file>