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Tout savoir sur le déficit foncier | economie.gouv.fr</w:t>
      </w:r>
      <w:br/>
      <w:hyperlink r:id="rId7" w:history="1">
        <w:r>
          <w:rPr>
            <w:color w:val="2980b9"/>
            <w:u w:val="single"/>
          </w:rPr>
          <w:t xml:space="preserve">https://www.economie.gouv.fr/particuliers/tout-savoir-deficit-foncier</w:t>
        </w:r>
      </w:hyperlink>
    </w:p>
    <w:p>
      <w:pPr>
        <w:pStyle w:val="Heading1"/>
      </w:pPr>
      <w:bookmarkStart w:id="2" w:name="_Toc2"/>
      <w:r>
        <w:t>Article summary:</w:t>
      </w:r>
      <w:bookmarkEnd w:id="2"/>
    </w:p>
    <w:p>
      <w:pPr>
        <w:jc w:val="both"/>
      </w:pPr>
      <w:r>
        <w:rPr/>
        <w:t xml:space="preserve">1. Le déficit foncier est la différence entre les charges et les revenus fonciers, qui peut être déduit de votre revenu global pour réduire le montant de votre impôt sur le revenu.</w:t>
      </w:r>
    </w:p>
    <w:p>
      <w:pPr>
        <w:jc w:val="both"/>
      </w:pPr>
      <w:r>
        <w:rPr/>
        <w:t xml:space="preserve">2. Les propriétaires peuvent choisir entre le régime réel et le régime micro-foncier, avec des avantages et des inconvénients différents.</w:t>
      </w:r>
    </w:p>
    <w:p>
      <w:pPr>
        <w:jc w:val="both"/>
      </w:pPr>
      <w:r>
        <w:rPr/>
        <w:t xml:space="preserve">3. Les charges déductibles comprennent les frais de gestion, les impôts liés au logement, les dépenses de réparation et d'entretien, les intérêts d'emprunt et plus encore.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bonne introduction à la notion de déficit foncier et explique clairement comment il peut être utilisé pour réduire l'impôt sur le revenu. Il explique également en quoi consiste le régime micro-foncier et le régime réel, ainsi que les charges qui peuvent être déduites des revenus fonciers. Cependant, l'article ne mentionne pas certains points importants tels que la possibilité d'utiliser un crédit d'impôt pour compenser un excédent de déficit foncier ou la possibilité d'utiliser un prêt inversé pour financer des travaux immobiliers qui ne sont pas considérés comme des charges déductibles. De plus, l’article ne mentionne pas non plus certaines restrictions supplémentaires qui s’appliquent aux propriétaires bailleurs professionnels ou aux propriétaires dont les biens immobiliers bénéficient d’un statut particulier (comme ceux situés en zone tendue). Enfin, l’article ne mentionne pas non plus quelles sont exactement les pièces justificatives nécessaires pour prouver que certaines charges ont été engagées par le propriétaire bailleur.</w:t>
      </w:r>
    </w:p>
    <w:p>
      <w:pPr>
        <w:pStyle w:val="Heading1"/>
      </w:pPr>
      <w:bookmarkStart w:id="5" w:name="_Toc5"/>
      <w:r>
        <w:t>Topics for further research:</w:t>
      </w:r>
      <w:bookmarkEnd w:id="5"/>
    </w:p>
    <w:p>
      <w:pPr>
        <w:spacing w:after="0"/>
        <w:numPr>
          <w:ilvl w:val="0"/>
          <w:numId w:val="2"/>
        </w:numPr>
      </w:pPr>
      <w:r>
        <w:rPr/>
        <w:t xml:space="preserve">Crédit d'impôt pour déficit foncier</w:t>
      </w:r>
    </w:p>
    <w:p>
      <w:pPr>
        <w:spacing w:after="0"/>
        <w:numPr>
          <w:ilvl w:val="0"/>
          <w:numId w:val="2"/>
        </w:numPr>
      </w:pPr>
      <w:r>
        <w:rPr/>
        <w:t xml:space="preserve">Prêt inversé pour financer des travaux immobiliers</w:t>
      </w:r>
    </w:p>
    <w:p>
      <w:pPr>
        <w:spacing w:after="0"/>
        <w:numPr>
          <w:ilvl w:val="0"/>
          <w:numId w:val="2"/>
        </w:numPr>
      </w:pPr>
      <w:r>
        <w:rPr/>
        <w:t xml:space="preserve">Restrictions supplémentaires pour les propriétaires bailleurs professionnels</w:t>
      </w:r>
    </w:p>
    <w:p>
      <w:pPr>
        <w:spacing w:after="0"/>
        <w:numPr>
          <w:ilvl w:val="0"/>
          <w:numId w:val="2"/>
        </w:numPr>
      </w:pPr>
      <w:r>
        <w:rPr/>
        <w:t xml:space="preserve">Restrictions supplémentaires pour les propriétés situées en zone tendue</w:t>
      </w:r>
    </w:p>
    <w:p>
      <w:pPr>
        <w:spacing w:after="0"/>
        <w:numPr>
          <w:ilvl w:val="0"/>
          <w:numId w:val="2"/>
        </w:numPr>
      </w:pPr>
      <w:r>
        <w:rPr/>
        <w:t xml:space="preserve">Pièces justificatives pour les charges déductibles</w:t>
      </w:r>
    </w:p>
    <w:p>
      <w:pPr>
        <w:numPr>
          <w:ilvl w:val="0"/>
          <w:numId w:val="2"/>
        </w:numPr>
      </w:pPr>
      <w:r>
        <w:rPr/>
        <w:t xml:space="preserve">Régime micro-foncier et régime réel</w:t>
      </w:r>
    </w:p>
    <w:p>
      <w:pPr>
        <w:pStyle w:val="Heading1"/>
      </w:pPr>
      <w:bookmarkStart w:id="6" w:name="_Toc6"/>
      <w:r>
        <w:t>Report location:</w:t>
      </w:r>
      <w:bookmarkEnd w:id="6"/>
    </w:p>
    <w:p>
      <w:hyperlink r:id="rId8" w:history="1">
        <w:r>
          <w:rPr>
            <w:color w:val="2980b9"/>
            <w:u w:val="single"/>
          </w:rPr>
          <w:t xml:space="preserve">https://www.fullpicture.app/item/1dc1dd1911ee8da8ab6c69d7a1147c07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E6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particuliers/tout-savoir-deficit-foncier" TargetMode="External"/><Relationship Id="rId8" Type="http://schemas.openxmlformats.org/officeDocument/2006/relationships/hyperlink" Target="https://www.fullpicture.app/item/1dc1dd1911ee8da8ab6c69d7a1147c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2023-02-20T09:28:34+01:00</dcterms:created>
  <dcterms:modified xsi:type="dcterms:W3CDTF">2023-02-20T09:28:34+01:00</dcterms:modified>
</cp:coreProperties>
</file>

<file path=docProps/custom.xml><?xml version="1.0" encoding="utf-8"?>
<Properties xmlns="http://schemas.openxmlformats.org/officeDocument/2006/custom-properties" xmlns:vt="http://schemas.openxmlformats.org/officeDocument/2006/docPropsVTypes"/>
</file>