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Proteomic and Metabolomic Characterization of COVID-19 Patient Sera: Cell</w:t>
      </w:r>
      <w:br/>
      <w:hyperlink r:id="rId7" w:history="1">
        <w:r>
          <w:rPr>
            <w:color w:val="2980b9"/>
            <w:u w:val="single"/>
          </w:rPr>
          <w:t xml:space="preserve">https://www.cell.com/cell/fulltext/S0092-8674(20)30627-9?_returnURL=https%3A%2F%2Flinkinghub.elsevier.com%2Fretrieve%2Fpii%2FS0092867420306279%3Fshowall%3Dtrue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该研究通过蛋白质组学和代谢组学分析了COVID-19患者血清中的蛋白质和代谢物的特征。</w:t>
      </w:r>
    </w:p>
    <w:p>
      <w:pPr>
        <w:jc w:val="both"/>
      </w:pPr>
      <w:r>
        <w:rPr/>
        <w:t xml:space="preserve">2. 研究使用机器学习模型对非重症和重症患者进行分类，并在验证集中取得了良好的分类结果。</w:t>
      </w:r>
    </w:p>
    <w:p>
      <w:pPr>
        <w:jc w:val="both"/>
      </w:pPr>
      <w:r>
        <w:rPr/>
        <w:t xml:space="preserve">3. COVID-19患者血清中存在与巨噬细胞、血小板去颗粒化、补体系统途径以及大规模代谢抑制相关的分子变化，这些变化可能用于评估疾病严重程度的潜在生物标志物选择。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对COVID-19患者血清进行蛋白质组学和代谢组学分析的研究。文章指出，严重COVID-19患者的血清中有93种蛋白质表达差异，并且有204种代谢物与疾病的严重程度相关。研究还建立了一个由29个血清因子组成的模型，具有患者分层潜力。通路分析突出了COVID-19患者代谢和免疫失调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问题。首先，文章没有提供足够的信息来评估样本选择和数据收集方法的可靠性。没有详细描述如何选择COVID-19和对照组，并且没有提供关于样本收集和处理过程的详细信息。这可能导致样本偏倚或其他系统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明确说明机器学习模型是如何训练和验证的。虽然作者声称使用了18个非严重和13个严重患者的训练队列以及10个独立患者进行验证，但并未提供详细信息来支持这些声明。缺乏透明度可能使读者难以评估模型的有效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作者的主张。虽然作者声称在COVID-19患者血清中发现了蛋白质和代谢物的变化，但并未提供详细的实验结果或数据来支持这些结论。缺乏实验证据可能使读者难以相信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最后，文章没有充分探讨研究结果的局限性和潜在风险。例如，文章没有讨论样本大小是否足够大，并且是否具有代表性。此外，文章也没有讨论其他可能影响结果解释的因素，如年龄、性别、基础疾病等。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总体而言，这篇文章存在一些方法学和逻辑上的问题，并且缺乏充分的证据来支持其主张。进一步的研究和验证是必要的，以确定COVID-19患者血清中蛋白质和代谢物变化与疾病严重程度之间的关系。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patient serum proteomics and metabolomics analysis
</w:t>
      </w:r>
    </w:p>
    <w:p>
      <w:pPr>
        <w:spacing w:after="0"/>
        <w:numPr>
          <w:ilvl w:val="0"/>
          <w:numId w:val="2"/>
        </w:numPr>
      </w:pPr>
      <w:r>
        <w:rPr/>
        <w:t xml:space="preserve">Sample selection and data collection methods
</w:t>
      </w:r>
    </w:p>
    <w:p>
      <w:pPr>
        <w:spacing w:after="0"/>
        <w:numPr>
          <w:ilvl w:val="0"/>
          <w:numId w:val="2"/>
        </w:numPr>
      </w:pPr>
      <w:r>
        <w:rPr/>
        <w:t xml:space="preserve">Training and validation of machine learning model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risks of the study
</w:t>
      </w:r>
    </w:p>
    <w:p>
      <w:pPr>
        <w:numPr>
          <w:ilvl w:val="0"/>
          <w:numId w:val="2"/>
        </w:numPr>
      </w:pPr>
      <w:r>
        <w:rPr/>
        <w:t xml:space="preserve">Further research and validation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https://www.fullpicture.app/item/1dd1e30da951f33bfbcdb7d09d0ef246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A1C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cell/fulltext/S0092-8674(20)30627-9?_returnURL=https%3A%2F%2Flinkinghub.elsevier.com%2Fretrieve%2Fpii%2FS0092867420306279%3Fshowall%3Dtrue" TargetMode="External"/><Relationship Id="rId8" Type="http://schemas.openxmlformats.org/officeDocument/2006/relationships/hyperlink" Target="https://www.fullpicture.app/item/1dd1e30da951f33bfbcdb7d09d0ef2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2024-04-16T07:07:12+02:00</dcterms:created>
  <dcterms:modified xsi:type="dcterms:W3CDTF">2024-04-16T07:07:12+02:00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