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FUTURE OF CONFERENCES AND MEETINGS IN THE UNITED NATIONS SYSTEM | ITCILO</w:t>
      </w:r>
      <w:br/>
      <w:hyperlink r:id="rId7" w:history="1">
        <w:r>
          <w:rPr>
            <w:color w:val="2980b9"/>
            <w:u w:val="single"/>
          </w:rPr>
          <w:t xml:space="preserve">https://www.itcilo.org/events/future-conferences-and-meetings-united-nations-system</w:t>
        </w:r>
      </w:hyperlink>
    </w:p>
    <w:p>
      <w:pPr>
        <w:pStyle w:val="Heading1"/>
      </w:pPr>
      <w:bookmarkStart w:id="2" w:name="_Toc2"/>
      <w:r>
        <w:t>Article summary:</w:t>
      </w:r>
      <w:bookmarkEnd w:id="2"/>
    </w:p>
    <w:p>
      <w:pPr>
        <w:jc w:val="both"/>
      </w:pPr>
      <w:r>
        <w:rPr/>
        <w:t xml:space="preserve">1. The future of conferences and meetings is hybrid, combining face-to-face meetings with virtual and online interaction formats.</w:t>
      </w:r>
    </w:p>
    <w:p>
      <w:pPr>
        <w:jc w:val="both"/>
      </w:pPr>
      <w:r>
        <w:rPr/>
        <w:t xml:space="preserve">2. Technology can lower physical barriers to participation, making conferences and meetings more diverse and democratic.</w:t>
      </w:r>
    </w:p>
    <w:p>
      <w:pPr>
        <w:jc w:val="both"/>
      </w:pPr>
      <w:r>
        <w:rPr/>
        <w:t xml:space="preserve">3. Artificial intelligence can greatly facilitate event logistics, but data privacy and security are concerns that need to be addressed.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Future of Conferences and Meetings in the United Nations System" provides an overview of the changing landscape of event facilitation services within the UN system. While it touches upon some important points, there are several areas where a critical analysis reveals potential biases, unsupported claims, missing evidence, and unexplored counterarguments.</w:t>
      </w:r>
    </w:p>
    <w:p>
      <w:pPr>
        <w:jc w:val="both"/>
      </w:pPr>
      <w:r>
        <w:rPr/>
        <w:t xml:space="preserve"/>
      </w:r>
    </w:p>
    <w:p>
      <w:pPr>
        <w:jc w:val="both"/>
      </w:pPr>
      <w:r>
        <w:rPr/>
        <w:t xml:space="preserve">One potential bias in the article is its promotion of hybrid events as the future of conferences and meetings. The author states that hybrid events, which combine face-to-face meetings with virtual and online interaction formats, will likely see fewer but larger face-to-face events. However, this claim lacks evidence or data to support it. It assumes that networking benefits and scale effects outweigh environmental concerns and budget constraints without providing any substantiation for this assertion.</w:t>
      </w:r>
    </w:p>
    <w:p>
      <w:pPr>
        <w:jc w:val="both"/>
      </w:pPr>
      <w:r>
        <w:rPr/>
        <w:t xml:space="preserve"/>
      </w:r>
    </w:p>
    <w:p>
      <w:pPr>
        <w:jc w:val="both"/>
      </w:pPr>
      <w:r>
        <w:rPr/>
        <w:t xml:space="preserve">Furthermore, the article fails to address potential drawbacks or challenges associated with hybrid events. While it briefly mentions digital inclusion as a challenge, it does not explore other issues such as technological barriers, connectivity issues, or the potential for decreased engagement in virtual settings. By not presenting both sides equally, the article presents a one-sided view that may not fully reflect the complexities and limitations of hybrid events.</w:t>
      </w:r>
    </w:p>
    <w:p>
      <w:pPr>
        <w:jc w:val="both"/>
      </w:pPr>
      <w:r>
        <w:rPr/>
        <w:t xml:space="preserve"/>
      </w:r>
    </w:p>
    <w:p>
      <w:pPr>
        <w:jc w:val="both"/>
      </w:pPr>
      <w:r>
        <w:rPr/>
        <w:t xml:space="preserve">Another area where the article falls short is in providing evidence for its claims about technology supporting hybrid formats. It mentions Virtual Reality applications and holographic projections without offering any examples or case studies to demonstrate their effectiveness or impact on event facilitation. Without concrete evidence, these claims remain unsupported assertions rather than informed insights.</w:t>
      </w:r>
    </w:p>
    <w:p>
      <w:pPr>
        <w:jc w:val="both"/>
      </w:pPr>
      <w:r>
        <w:rPr/>
        <w:t xml:space="preserve"/>
      </w:r>
    </w:p>
    <w:p>
      <w:pPr>
        <w:jc w:val="both"/>
      </w:pPr>
      <w:r>
        <w:rPr/>
        <w:t xml:space="preserve">Additionally, the article lacks consideration for potential risks associated with technology-driven event facilitation services. While it briefly mentions data privacy and security concerns related to artificial intelligence facilitating translation services, it does not delve into these risks or provide recommendations for mitigating them. This omission leaves readers without a comprehensive understanding of the potential pitfalls associated with adopting new technologies in conference and meeting facilitation.</w:t>
      </w:r>
    </w:p>
    <w:p>
      <w:pPr>
        <w:jc w:val="both"/>
      </w:pPr>
      <w:r>
        <w:rPr/>
        <w:t xml:space="preserve"/>
      </w:r>
    </w:p>
    <w:p>
      <w:pPr>
        <w:jc w:val="both"/>
      </w:pPr>
      <w:r>
        <w:rPr/>
        <w:t xml:space="preserve">Overall, while the article provides an interesting glimpse into the future of conferences and meetings within the UN system, it falls short in several areas. It exhibits potential biases towards hybrid events, makes unsupported claims about technology, overlooks potential risks, and fails to present a balanced view of the topic. A more critical analysis would require additional evidence, exploration of counterarguments, and a more comprehensive consideration of the challenges and limitations associated with the future of event facilitation services.</w:t>
      </w:r>
    </w:p>
    <w:p>
      <w:pPr>
        <w:pStyle w:val="Heading1"/>
      </w:pPr>
      <w:bookmarkStart w:id="5" w:name="_Toc5"/>
      <w:r>
        <w:t>Topics for further research:</w:t>
      </w:r>
      <w:bookmarkEnd w:id="5"/>
    </w:p>
    <w:p>
      <w:pPr>
        <w:spacing w:after="0"/>
        <w:numPr>
          <w:ilvl w:val="0"/>
          <w:numId w:val="2"/>
        </w:numPr>
      </w:pPr>
      <w:r>
        <w:rPr/>
        <w:t xml:space="preserve">Challenges of hybrid events in conference facilitation
</w:t>
      </w:r>
    </w:p>
    <w:p>
      <w:pPr>
        <w:spacing w:after="0"/>
        <w:numPr>
          <w:ilvl w:val="0"/>
          <w:numId w:val="2"/>
        </w:numPr>
      </w:pPr>
      <w:r>
        <w:rPr/>
        <w:t xml:space="preserve">Technological barriers in virtual event engagement
</w:t>
      </w:r>
    </w:p>
    <w:p>
      <w:pPr>
        <w:spacing w:after="0"/>
        <w:numPr>
          <w:ilvl w:val="0"/>
          <w:numId w:val="2"/>
        </w:numPr>
      </w:pPr>
      <w:r>
        <w:rPr/>
        <w:t xml:space="preserve">Case studies on the effectiveness of Virtual Reality applications in event facilitation
</w:t>
      </w:r>
    </w:p>
    <w:p>
      <w:pPr>
        <w:spacing w:after="0"/>
        <w:numPr>
          <w:ilvl w:val="0"/>
          <w:numId w:val="2"/>
        </w:numPr>
      </w:pPr>
      <w:r>
        <w:rPr/>
        <w:t xml:space="preserve">Risks and mitigation strategies for data privacy and security in AI-driven translation services
</w:t>
      </w:r>
    </w:p>
    <w:p>
      <w:pPr>
        <w:spacing w:after="0"/>
        <w:numPr>
          <w:ilvl w:val="0"/>
          <w:numId w:val="2"/>
        </w:numPr>
      </w:pPr>
      <w:r>
        <w:rPr/>
        <w:t xml:space="preserve">Limitations and drawbacks of hybrid events in conference settings
</w:t>
      </w:r>
    </w:p>
    <w:p>
      <w:pPr>
        <w:numPr>
          <w:ilvl w:val="0"/>
          <w:numId w:val="2"/>
        </w:numPr>
      </w:pPr>
      <w:r>
        <w:rPr/>
        <w:t xml:space="preserve">Counterarguments against the promotion of hybrid events in the UN system</w:t>
      </w:r>
    </w:p>
    <w:p>
      <w:pPr>
        <w:pStyle w:val="Heading1"/>
      </w:pPr>
      <w:bookmarkStart w:id="6" w:name="_Toc6"/>
      <w:r>
        <w:t>Report location:</w:t>
      </w:r>
      <w:bookmarkEnd w:id="6"/>
    </w:p>
    <w:p>
      <w:hyperlink r:id="rId8" w:history="1">
        <w:r>
          <w:rPr>
            <w:color w:val="2980b9"/>
            <w:u w:val="single"/>
          </w:rPr>
          <w:t xml:space="preserve">https://www.fullpicture.app/item/1dff0b1ac361d587f4eec0e3b6c3a316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DFC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tcilo.org/events/future-conferences-and-meetings-united-nations-system" TargetMode="External"/><Relationship Id="rId8" Type="http://schemas.openxmlformats.org/officeDocument/2006/relationships/hyperlink" Target="https://www.fullpicture.app/item/1dff0b1ac361d587f4eec0e3b6c3a3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2023-12-07T14:33:46+01:00</dcterms:created>
  <dcterms:modified xsi:type="dcterms:W3CDTF">2023-12-07T14:33:46+01:00</dcterms:modified>
</cp:coreProperties>
</file>

<file path=docProps/custom.xml><?xml version="1.0" encoding="utf-8"?>
<Properties xmlns="http://schemas.openxmlformats.org/officeDocument/2006/custom-properties" xmlns:vt="http://schemas.openxmlformats.org/officeDocument/2006/docPropsVTypes"/>
</file>