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Indonesia's pluralism in question as Islamic law influence grows - Nikkei Asia</w:t>
      </w:r>
      <w:br/>
      <w:hyperlink r:id="rId7" w:history="1">
        <w:r>
          <w:rPr>
            <w:color w:val="2980b9"/>
            <w:u w:val="single"/>
          </w:rPr>
          <w:t xml:space="preserve">https://asia.nikkei.com/Spotlight/Society/Indonesia-s-pluralism-in-question-as-Islamic-law-influence-grows</w:t>
        </w:r>
      </w:hyperlink>
    </w:p>
    <w:p>
      <w:pPr>
        <w:pStyle w:val="Heading1"/>
      </w:pPr>
      <w:bookmarkStart w:id="2" w:name="_Toc2"/>
      <w:r>
        <w:t>Article summary:</w:t>
      </w:r>
      <w:bookmarkEnd w:id="2"/>
    </w:p>
    <w:p>
      <w:pPr>
        <w:jc w:val="both"/>
      </w:pPr>
      <w:r>
        <w:rPr/>
        <w:t xml:space="preserve">1. A new law passed in West Sumatra Province in Indonesia has raised concerns among human rights activists and minority groups, as it could lead to more Islamic laws being enforced across the country.</w:t>
      </w:r>
    </w:p>
    <w:p>
      <w:pPr>
        <w:jc w:val="both"/>
      </w:pPr>
      <w:r>
        <w:rPr/>
        <w:t xml:space="preserve">2. The new law states that the customs of the Minangkabau, the largest ethnic group in West Sumatra Province, are based on Shariah law.</w:t>
      </w:r>
    </w:p>
    <w:p>
      <w:pPr>
        <w:jc w:val="both"/>
      </w:pPr>
      <w:r>
        <w:rPr/>
        <w:t xml:space="preserve">3. The province has already implemented various Shariah-inspired regulations over the last two decades, such as mandatory hijab rules for schoolgirls and female civil servants, and bans on openly celebrating Christmas by Christians.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“Indonesia’s pluralism in question as Islamic law influence grows” is a well-written piece that provides an overview of the current situation in Indonesia regarding the implementation of Islamic laws. It is clear from the article that there is a growing concern among human rights activists and minority groups about how this could potentially restrict their rights. The article also provides some background information on how this issue has been developing over time, with various Shariah-inspired regulations having been implemented over the last two decades. </w:t>
      </w:r>
    </w:p>
    <w:p>
      <w:pPr>
        <w:jc w:val="both"/>
      </w:pPr>
      <w:r>
        <w:rPr/>
        <w:t xml:space="preserve">However, there are some potential biases present in this article which should be noted. Firstly, it does not provide any counterarguments or perspectives from those who support or advocate for these laws being implemented. This means that readers may not get a full understanding of why these laws are being proposed and what benefits they may bring to certain communities or individuals. Additionally, while it does mention that Indonesia’s constitution guarantees freedom of religion and secularity of government, it does not explore how this might be affected by these new laws or how they might conflict with existing constitutional provisions. </w:t>
      </w:r>
    </w:p>
    <w:p>
      <w:pPr>
        <w:jc w:val="both"/>
      </w:pPr>
      <w:r>
        <w:rPr/>
        <w:t xml:space="preserve">Furthermore, while it mentions some examples of Shariah-inspired regulations already implemented in West Sumatra Province (such as mandatory hijab rules for schoolgirls), it does not provide any evidence to back up its claims about how these have had a “harmful impact on women and girls” or other potential risks associated with them. Additionally, while it mentions Aceh Province as an example of where widespread Islamic law is already enforced due to its special autonomy status, it does not explore whether similar autonomy status could be granted to other provinces if they wish to implement similar laws or what implications this might have for Indonesia’s national unity and stability. </w:t>
      </w:r>
    </w:p>
    <w:p>
      <w:pPr>
        <w:jc w:val="both"/>
      </w:pPr>
      <w:r>
        <w:rPr/>
        <w:t xml:space="preserve">In conclusion, while this article provides an informative overview of the current situation regarding Islamic law implementation in Indonesia and raises important questions about its potential impacts on minorities and human rights protections,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“Impact of Islamic law on Indonesian minorities”</w:t>
      </w:r>
    </w:p>
    <w:p>
      <w:pPr>
        <w:spacing w:after="0"/>
        <w:numPr>
          <w:ilvl w:val="0"/>
          <w:numId w:val="2"/>
        </w:numPr>
      </w:pPr>
      <w:r>
        <w:rPr/>
        <w:t xml:space="preserve">“Indonesian constitutional provisions on religious freedom”</w:t>
      </w:r>
    </w:p>
    <w:p>
      <w:pPr>
        <w:spacing w:after="0"/>
        <w:numPr>
          <w:ilvl w:val="0"/>
          <w:numId w:val="2"/>
        </w:numPr>
      </w:pPr>
      <w:r>
        <w:rPr/>
        <w:t xml:space="preserve">“Shariah-inspired regulations in West Sumatra Province”</w:t>
      </w:r>
    </w:p>
    <w:p>
      <w:pPr>
        <w:spacing w:after="0"/>
        <w:numPr>
          <w:ilvl w:val="0"/>
          <w:numId w:val="2"/>
        </w:numPr>
      </w:pPr>
      <w:r>
        <w:rPr/>
        <w:t xml:space="preserve">“Aceh Province autonomy status and Islamic law”</w:t>
      </w:r>
    </w:p>
    <w:p>
      <w:pPr>
        <w:spacing w:after="0"/>
        <w:numPr>
          <w:ilvl w:val="0"/>
          <w:numId w:val="2"/>
        </w:numPr>
      </w:pPr>
      <w:r>
        <w:rPr/>
        <w:t xml:space="preserve">“Risks associated with Islamic law implementation in Indonesia”</w:t>
      </w:r>
    </w:p>
    <w:p>
      <w:pPr>
        <w:numPr>
          <w:ilvl w:val="0"/>
          <w:numId w:val="2"/>
        </w:numPr>
      </w:pPr>
      <w:r>
        <w:rPr/>
        <w:t xml:space="preserve">“Implications of Islamic law implementation for Indonesian national unity”</w:t>
      </w:r>
    </w:p>
    <w:p>
      <w:pPr>
        <w:pStyle w:val="Heading1"/>
      </w:pPr>
      <w:bookmarkStart w:id="6" w:name="_Toc6"/>
      <w:r>
        <w:t>Report location:</w:t>
      </w:r>
      <w:bookmarkEnd w:id="6"/>
    </w:p>
    <w:p>
      <w:hyperlink r:id="rId8" w:history="1">
        <w:r>
          <w:rPr>
            <w:color w:val="2980b9"/>
            <w:u w:val="single"/>
          </w:rPr>
          <w:t xml:space="preserve">https://www.fullpicture.app/item/1ec20b08a4112e60e0ccd8aa3da6b4bf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0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ia.nikkei.com/Spotlight/Society/Indonesia-s-pluralism-in-question-as-Islamic-law-influence-grows" TargetMode="External"/><Relationship Id="rId8" Type="http://schemas.openxmlformats.org/officeDocument/2006/relationships/hyperlink" Target="https://www.fullpicture.app/item/1ec20b08a4112e60e0ccd8aa3da6b4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2023-03-03T12:06:33+01:00</dcterms:created>
  <dcterms:modified xsi:type="dcterms:W3CDTF">2023-03-03T12:06:33+01:00</dcterms:modified>
</cp:coreProperties>
</file>

<file path=docProps/custom.xml><?xml version="1.0" encoding="utf-8"?>
<Properties xmlns="http://schemas.openxmlformats.org/officeDocument/2006/custom-properties" xmlns:vt="http://schemas.openxmlformats.org/officeDocument/2006/docPropsVTypes"/>
</file>