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Influence of Second Language (L2) Proficiency on Cognitive Control Among Young Adult Unbalanced Chinese-English Bilinguals</w:t>
      </w:r>
      <w:br/>
      <w:hyperlink r:id="rId7" w:history="1">
        <w:r>
          <w:rPr>
            <w:color w:val="2980b9"/>
            <w:u w:val="single"/>
          </w:rPr>
          <w:t xml:space="preserve">https://www.frontiersin.org/articles/10.3389/fpsyg.2018.00412/full</w:t>
        </w:r>
      </w:hyperlink>
    </w:p>
    <w:p>
      <w:pPr>
        <w:pStyle w:val="Heading1"/>
      </w:pPr>
      <w:bookmarkStart w:id="2" w:name="_Toc2"/>
      <w:r>
        <w:t>Article summary:</w:t>
      </w:r>
      <w:bookmarkEnd w:id="2"/>
    </w:p>
    <w:p>
      <w:pPr>
        <w:jc w:val="both"/>
      </w:pPr>
      <w:r>
        <w:rPr/>
        <w:t xml:space="preserve">1. 本文研究了第二语言（L2）熟练程度对年轻成年人中文-英文双语者认知控制的影响。研究发现，双语者在执行认知控制任务时比单语者表现出优势。</w:t>
      </w:r>
    </w:p>
    <w:p>
      <w:pPr>
        <w:jc w:val="both"/>
      </w:pPr>
      <w:r>
        <w:rPr/>
        <w:t xml:space="preserve">2. 双语者之所以具有认知控制优势，可能是因为他们需要通过语言控制机制来监控和/或抑制非目标语言，这至少部分依赖于一般（非语言）领域的认知控制。</w:t>
      </w:r>
    </w:p>
    <w:p>
      <w:pPr>
        <w:jc w:val="both"/>
      </w:pPr>
      <w:r>
        <w:rPr/>
        <w:t xml:space="preserve">3. 长期的双语经验可能增强了一般认知控制能力，使双语者在认知控制任务中表现更好，或在神经网络中获得更高的认知效率，并因此延缓老年双语者患上痴呆症的发作。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这篇文章探讨了第二语言（L2）熟练程度对年轻成年人中认知控制的影响。然而，文章存在一些潜在的偏见和问题。</w:t>
      </w:r>
    </w:p>
    <w:p>
      <w:pPr>
        <w:jc w:val="both"/>
      </w:pPr>
      <w:r>
        <w:rPr/>
        <w:t xml:space="preserve"/>
      </w:r>
    </w:p>
    <w:p>
      <w:pPr>
        <w:jc w:val="both"/>
      </w:pPr>
      <w:r>
        <w:rPr/>
        <w:t xml:space="preserve">首先，文章没有提及研究样本的选择方式和规模。如果样本选择不具有代表性，那么研究结果可能无法推广到整个人群。此外，文章也没有提供关于参与者背景信息的详细描述，如他们的教育水平、文化背景等。这些因素可能会对研究结果产生影响。</w:t>
      </w:r>
    </w:p>
    <w:p>
      <w:pPr>
        <w:jc w:val="both"/>
      </w:pPr>
      <w:r>
        <w:rPr/>
        <w:t xml:space="preserve"/>
      </w:r>
    </w:p>
    <w:p>
      <w:pPr>
        <w:jc w:val="both"/>
      </w:pPr>
      <w:r>
        <w:rPr/>
        <w:t xml:space="preserve">其次，文章引用了一些相关研究来支持双语者在认知控制任务中表现优于单语者的观点。然而，这些引用并未提供具体的实证数据或实验结果来支持这一主张。因此，读者很难确定这些结论是否可靠。</w:t>
      </w:r>
    </w:p>
    <w:p>
      <w:pPr>
        <w:jc w:val="both"/>
      </w:pPr>
      <w:r>
        <w:rPr/>
        <w:t xml:space="preserve"/>
      </w:r>
    </w:p>
    <w:p>
      <w:pPr>
        <w:jc w:val="both"/>
      </w:pPr>
      <w:r>
        <w:rPr/>
        <w:t xml:space="preserve">此外，在讨论双语经验对认知控制的影响时，文章没有考虑其他可能的解释因素。例如，双语者可能在其他方面也有更好的认知能力或学习策略，并不仅仅是由于他们使用两种语言而获得优势。</w:t>
      </w:r>
    </w:p>
    <w:p>
      <w:pPr>
        <w:jc w:val="both"/>
      </w:pPr>
      <w:r>
        <w:rPr/>
        <w:t xml:space="preserve"/>
      </w:r>
    </w:p>
    <w:p>
      <w:pPr>
        <w:jc w:val="both"/>
      </w:pPr>
      <w:r>
        <w:rPr/>
        <w:t xml:space="preserve">此外，文章没有提及任何潜在的风险或限制。例如，在评估双语者和单语者之间的认知控制差异时，可能存在其他变量的干扰，如年龄、教育水平等。这些因素可能会对研究结果产生影响，但文章未对其进行讨论。</w:t>
      </w:r>
    </w:p>
    <w:p>
      <w:pPr>
        <w:jc w:val="both"/>
      </w:pPr>
      <w:r>
        <w:rPr/>
        <w:t xml:space="preserve"/>
      </w:r>
    </w:p>
    <w:p>
      <w:pPr>
        <w:jc w:val="both"/>
      </w:pPr>
      <w:r>
        <w:rPr/>
        <w:t xml:space="preserve">最后，文章没有提供平衡的观点或反驳。它只关注了双语者在认知控制任务中的优势，而忽略了可能存在的相反观点或研究结果。这种片面报道可能导致读者对该主题形成不完整或误导性的理解。</w:t>
      </w:r>
    </w:p>
    <w:p>
      <w:pPr>
        <w:jc w:val="both"/>
      </w:pPr>
      <w:r>
        <w:rPr/>
        <w:t xml:space="preserve"/>
      </w:r>
    </w:p>
    <w:p>
      <w:pPr>
        <w:jc w:val="both"/>
      </w:pPr>
      <w:r>
        <w:rPr/>
        <w:t xml:space="preserve">综上所述，这篇文章存在一些潜在的偏见和问题。它没有提供充分的证据来支持其主张，并忽略了其他可能解释和限制因素。此外，它也没有提供平衡的观点或反驳。因此，在评估该主题时需要更多全面和客观的研究证据。</w:t>
      </w:r>
    </w:p>
    <w:p>
      <w:pPr>
        <w:pStyle w:val="Heading1"/>
      </w:pPr>
      <w:bookmarkStart w:id="5" w:name="_Toc5"/>
      <w:r>
        <w:t>Topics for further research:</w:t>
      </w:r>
      <w:bookmarkEnd w:id="5"/>
    </w:p>
    <w:p>
      <w:pPr>
        <w:spacing w:after="0"/>
        <w:numPr>
          <w:ilvl w:val="0"/>
          <w:numId w:val="2"/>
        </w:numPr>
      </w:pPr>
      <w:r>
        <w:rPr/>
        <w:t xml:space="preserve">研究样本选择方式和规模
</w:t>
      </w:r>
    </w:p>
    <w:p>
      <w:pPr>
        <w:spacing w:after="0"/>
        <w:numPr>
          <w:ilvl w:val="0"/>
          <w:numId w:val="2"/>
        </w:numPr>
      </w:pPr>
      <w:r>
        <w:rPr/>
        <w:t xml:space="preserve">参与者背景信息的详细描述
</w:t>
      </w:r>
    </w:p>
    <w:p>
      <w:pPr>
        <w:spacing w:after="0"/>
        <w:numPr>
          <w:ilvl w:val="0"/>
          <w:numId w:val="2"/>
        </w:numPr>
      </w:pPr>
      <w:r>
        <w:rPr/>
        <w:t xml:space="preserve">引用的相关研究是否提供实证数据或实验结果
</w:t>
      </w:r>
    </w:p>
    <w:p>
      <w:pPr>
        <w:spacing w:after="0"/>
        <w:numPr>
          <w:ilvl w:val="0"/>
          <w:numId w:val="2"/>
        </w:numPr>
      </w:pPr>
      <w:r>
        <w:rPr/>
        <w:t xml:space="preserve">考虑其他可能的解释因素
</w:t>
      </w:r>
    </w:p>
    <w:p>
      <w:pPr>
        <w:spacing w:after="0"/>
        <w:numPr>
          <w:ilvl w:val="0"/>
          <w:numId w:val="2"/>
        </w:numPr>
      </w:pPr>
      <w:r>
        <w:rPr/>
        <w:t xml:space="preserve">潜在的风险或限制
</w:t>
      </w:r>
    </w:p>
    <w:p>
      <w:pPr>
        <w:numPr>
          <w:ilvl w:val="0"/>
          <w:numId w:val="2"/>
        </w:numPr>
      </w:pPr>
      <w:r>
        <w:rPr/>
        <w:t xml:space="preserve">平衡的观点或反驳</w:t>
      </w:r>
    </w:p>
    <w:p>
      <w:pPr>
        <w:pStyle w:val="Heading1"/>
      </w:pPr>
      <w:bookmarkStart w:id="6" w:name="_Toc6"/>
      <w:r>
        <w:t>Report location:</w:t>
      </w:r>
      <w:bookmarkEnd w:id="6"/>
    </w:p>
    <w:p>
      <w:hyperlink r:id="rId8" w:history="1">
        <w:r>
          <w:rPr>
            <w:color w:val="2980b9"/>
            <w:u w:val="single"/>
          </w:rPr>
          <w:t xml:space="preserve">https://www.fullpicture.app/item/1ec4742e7c9cedada1969a63bb2dc9a8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5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8.00412/full" TargetMode="External"/><Relationship Id="rId8" Type="http://schemas.openxmlformats.org/officeDocument/2006/relationships/hyperlink" Target="https://www.fullpicture.app/item/1ec4742e7c9cedada1969a63bb2dc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2024-02-07T22:26:39+01:00</dcterms:created>
  <dcterms:modified xsi:type="dcterms:W3CDTF">2024-02-07T22:26:39+01:00</dcterms:modified>
</cp:coreProperties>
</file>

<file path=docProps/custom.xml><?xml version="1.0" encoding="utf-8"?>
<Properties xmlns="http://schemas.openxmlformats.org/officeDocument/2006/custom-properties" xmlns:vt="http://schemas.openxmlformats.org/officeDocument/2006/docPropsVTypes"/>
</file>