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Chiam, Christopher --- “理由权和法院的监督管辖权” [2020] AdelLawRw 16； (2020) 41(2) 阿德莱德法律评论 421</w:t></w:r><w:br/><w:hyperlink r:id="rId7" w:history="1"><w:r><w:rPr><w:color w:val="2980b9"/><w:u w:val="single"/></w:rPr><w:t xml:space="preserve">http://classic.austlii.edu.au/cgi-bin/sinodisp/au/journals/AdelLawRw/2020/16.html?stem=0&synonyms=0&query=%22duty+to+provide+reasons%22</w:t></w:r></w:hyperlink></w:p><w:p><w:pPr><w:pStyle w:val="Heading1"/></w:pPr><w:bookmarkStart w:id="2" w:name="_Toc2"/><w:r><w:t>Article summary:</w:t></w:r><w:bookmarkEnd w:id="2"/></w:p><w:p><w:pPr><w:jc w:val="both"/></w:pPr><w:r><w:rPr/><w:t xml:space="preserve">1. 理由权是法院的重要职能之一，它允许法院在作出决定时考虑各种因素和证据，并给出合理的解释。</w:t></w:r></w:p><w:p><w:pPr><w:jc w:val="both"/></w:pPr><w:r><w:rPr/><w:t xml:space="preserve">2. 法院的监督管辖权是确保司法程序公正和透明的关键机制，它可以通过上诉、申请复议等方式实现。</w:t></w:r></w:p><w:p><w:pPr><w:jc w:val="both"/></w:pPr><w:r><w:rPr/><w:t xml:space="preserve">3. 在实践中，理由权和监督管辖权相互依存，相互支持。只有当法院行使其理由权并提供充分的解释时，才能有效地行使其监督管辖权。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https://www.fullpicture.app/item/1f3c020c855dc5136295379190512fe5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3CD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assic.austlii.edu.au/cgi-bin/sinodisp/au/journals/AdelLawRw/2020/16.html?stem=0&amp;synonyms=0&amp;query=%22duty+to+provide+reasons%22" TargetMode="External"/><Relationship Id="rId8" Type="http://schemas.openxmlformats.org/officeDocument/2006/relationships/hyperlink" Target="https://www.fullpicture.app/item/1f3c020c855dc5136295379190512f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2023-12-29T04:17:53+01:00</dcterms:created>
  <dcterms:modified xsi:type="dcterms:W3CDTF">2023-12-29T04:17:53+01:00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